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84BEE7">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ascii="Times New Roman Regular" w:hAnsi="Times New Roman Regular" w:cs="Times New Roman Regular" w:eastAsiaTheme="minorEastAsia"/>
          <w:b/>
          <w:bCs/>
          <w:lang w:val="en-US" w:eastAsia="zh-CN"/>
        </w:rPr>
      </w:pPr>
      <w:r>
        <w:rPr>
          <w:rFonts w:hint="default" w:ascii="Times New Roman Regular" w:hAnsi="Times New Roman Regular" w:cs="Times New Roman Regular"/>
          <w:b/>
          <w:bCs/>
          <w:lang w:val="en-US"/>
        </w:rPr>
        <w:t>Responses to CC1</w:t>
      </w:r>
    </w:p>
    <w:p w14:paraId="575DE3D2">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rPr>
      </w:pPr>
    </w:p>
    <w:p w14:paraId="154BD457">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rPr>
      </w:pPr>
      <w:r>
        <w:rPr>
          <w:rFonts w:hint="default" w:ascii="Times New Roman Regular" w:hAnsi="Times New Roman Regular" w:cs="Times New Roman Regular"/>
        </w:rPr>
        <w:t>This manuscript presents a highly innovative and timely contribution to hydrogeoscience research, offering a well-integrated framework that combines hydrochemical analysis, isotopic source apportionment, virtual sample generation, and hybrid quantum–classical machine learning to predict seasonal groundwater nitrate concentrations. The authors successfully link hydrogeochemical processes with predictive modeling and interpretability (via SHAP and Bayesian analyses), thereby enhancing both scientific insight and practical relevance. The focus on seasonal nitrate dynamics in an intensively cultivated region further strengthens the manuscript’s significance for water resources management. Overall, the work aligns exceptionally well with the scope and standards of HESS, particularly in its emphasis on process understanding, methodological novelty, and interdisciplinary integration.</w:t>
      </w:r>
    </w:p>
    <w:p w14:paraId="172C2326">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rPr>
      </w:pPr>
    </w:p>
    <w:p w14:paraId="454A788F">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rPr>
      </w:pPr>
      <w:r>
        <w:rPr>
          <w:rFonts w:hint="default" w:ascii="Times New Roman Regular" w:hAnsi="Times New Roman Regular" w:cs="Times New Roman Regular"/>
        </w:rPr>
        <w:t>The manuscript presents an interesting integration of virtual sample generation and hybrid quantum–classical ML. However, the authors should more explicitly differentiate their contribution from existing ML-based groundwater quality prediction studies. A short paragraph clearly stating what is fundamentally new (beyond combining known techniques) would strengthen the paper.</w:t>
      </w:r>
    </w:p>
    <w:p w14:paraId="0611EF4F">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rPr>
      </w:pPr>
    </w:p>
    <w:p w14:paraId="6152AB44">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rPr>
        <w:t>We sincerely thank the reviewer for this valuable suggestion.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In response, we have added a dedicated paragraph at the end of the Introduction section to clearly articulate the fundamental novelties of our work. This new paragraph explicitly contrasts our approach with conventional ML-based groundwater quality prediction studies, emphasizing three key differentiators</w:t>
      </w:r>
      <w:r>
        <w:rPr>
          <w:rFonts w:hint="default" w:ascii="Times New Roman Regular" w:hAnsi="Times New Roman Regular" w:cs="Times New Roman Regular"/>
          <w:color w:val="0000FF"/>
          <w:lang w:val="en-US"/>
        </w:rPr>
        <w:t>.</w:t>
      </w:r>
    </w:p>
    <w:p w14:paraId="79C5C302">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rPr>
      </w:pPr>
    </w:p>
    <w:p w14:paraId="625CD5DD">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eastAsia"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rPr>
        <w:t>The specific modifications are as follows</w:t>
      </w:r>
      <w:r>
        <w:rPr>
          <w:rFonts w:hint="eastAsia" w:ascii="Times New Roman Regular" w:hAnsi="Times New Roman Regular" w:cs="Times New Roman Regular"/>
          <w:color w:val="0000FF"/>
          <w:lang w:val="en-US" w:eastAsia="zh-CN"/>
        </w:rPr>
        <w:t>：</w:t>
      </w:r>
    </w:p>
    <w:p w14:paraId="63DD5F7B">
      <w:pPr>
        <w:spacing w:line="300" w:lineRule="auto"/>
        <w:ind w:firstLine="420" w:firstLineChars="0"/>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rPr>
        <w:t>Compared with existing research on groundwater quality prediction based on multiple ML algorithms</w:t>
      </w:r>
      <w:r>
        <w:rPr>
          <w:rFonts w:hint="default" w:ascii="Times New Roman Regular" w:hAnsi="Times New Roman Regular" w:cs="Times New Roman Regular"/>
          <w:color w:val="0000FF"/>
          <w:lang w:val="en-US"/>
        </w:rPr>
        <w:t xml:space="preserve"> and large datasets, the novelty of this paper lies in three aspects:</w:t>
      </w:r>
      <w:r>
        <w:rPr>
          <w:rFonts w:hint="default" w:ascii="Times New Roman Regular" w:hAnsi="Times New Roman Regular" w:cs="Times New Roman Regular"/>
          <w:color w:val="0000FF"/>
        </w:rPr>
        <w:t xml:space="preserve"> (1) the t-SNE-GMM-KNN strategy preserves the non-linear manifold structure of high-dimensional geochemical space during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(2) we systematically explore the application of hybrid quantum-classical machine learning in groundwater quality prediction, evaluating its robustness and feature discriminability in small-sample seasonal dynamics; and (3) we conduct a comparative analysis of prediction performance using traditional field observation data versus the first-time application of AlphaEarth Foundation (AEF) semantic embeddings for nitrate estimation.</w:t>
      </w:r>
      <w:r>
        <w:rPr>
          <w:rFonts w:hint="default" w:ascii="Times New Roman Regular" w:hAnsi="Times New Roman Regular" w:cs="Times New Roman Regular"/>
          <w:color w:val="0000FF"/>
          <w:lang w:val="en-US"/>
        </w:rPr>
        <w:t>”</w:t>
      </w:r>
    </w:p>
    <w:p w14:paraId="6351E7C8">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eastAsia" w:ascii="Times New Roman Regular" w:hAnsi="Times New Roman Regular" w:cs="Times New Roman Regular"/>
          <w:lang w:val="en-US" w:eastAsia="zh-CN"/>
        </w:rPr>
      </w:pPr>
    </w:p>
    <w:p w14:paraId="75FC5061">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t-SNE–GMM–KNN augmentation strategy is promising, but the validation of virtual samples is described rather briefly. Please provide additional quantitative diagnostics (e.g., distribution similarity metrics, KS test, or comparison of covariance structures) to demonstrate that synthetic data do not introduce bias.</w:t>
      </w:r>
    </w:p>
    <w:p w14:paraId="61539347">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DC4EFE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appreciate the constructive suggestion regarding virtual sample validation. To rigorously demonstrate that synthetic data do not introduce distributional bias, we have implemented comprehensive quantitative diagnostics across all hydrological seasons and augmentation ratios (1</w:t>
      </w:r>
      <w:r>
        <w:rPr>
          <w:rFonts w:hint="eastAsia" w:ascii="Times New Roman Regular" w:hAnsi="Times New Roman Regular" w:cs="Times New Roman Regular"/>
          <w:color w:val="0000FF"/>
          <w:lang w:val="en-US" w:eastAsia="zh-CN"/>
        </w:rPr>
        <w:t>x</w:t>
      </w:r>
      <w:r>
        <w:rPr>
          <w:rFonts w:hint="default" w:ascii="Times New Roman Regular" w:hAnsi="Times New Roman Regular" w:cs="Times New Roman Regular"/>
          <w:color w:val="0000FF"/>
          <w:lang w:val="en-US" w:eastAsia="zh-CN"/>
        </w:rPr>
        <w:t>–10x). The detailed results are now included in Section 3.4.1. Our validation protocol employs three complementary metrics:</w:t>
      </w:r>
    </w:p>
    <w:p w14:paraId="5951B84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1. Jensen-Shannon Divergence</w:t>
      </w:r>
    </w:p>
    <w:p w14:paraId="66CB1A8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JS divergence was computed pairwise between original and virtual samples for all eight hydrochemical features (pH, T, EC, DO, ORP, Salt, TDS,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lang w:val="en-US" w:eastAsia="zh-CN"/>
        </w:rPr>
        <w:t>). For optimal configurations, Dry season (7-10x) and Normal season (9-10x), mean JS divergence remained below 0.03 (0.015±0.008 and 0.020±0.012, respectively), indicating excellent distributional fidelity. Values &lt;0.05 are generally considered acceptable for environmental data augmentation, and our results exceed this threshold.</w:t>
      </w:r>
    </w:p>
    <w:p w14:paraId="3F9B2F6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2. Kolmogorov-Smirnov Tests</w:t>
      </w:r>
    </w:p>
    <w:p w14:paraId="1143175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KS tests (α=0.05) confirmed that for recommended configurations, 0% of features exhibited statistically significant deviations from original distributions. </w:t>
      </w:r>
    </w:p>
    <w:p w14:paraId="4362D9E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3. Maximum Mean Discrepancy</w:t>
      </w:r>
    </w:p>
    <w:p w14:paraId="033D0A4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MMD analysis confirmed preservation of multivariate dependencies in the 8-dimensional feature space. For recommended settings, MMD ranged 0.0008</w:t>
      </w:r>
      <w:r>
        <w:rPr>
          <w:rFonts w:hint="eastAsia"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0.0020 (95% CI), well below the 0.01 threshold. The narrow confidence intervals ([0.0007, 0.0104] for Dry season; [0.0007, 0.0096] for Normal season) further confirm statistical stability.</w:t>
      </w:r>
    </w:p>
    <w:p w14:paraId="01AFCD2F">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w:t>
      </w:r>
    </w:p>
    <w:p w14:paraId="7273C33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These diagnostics confirm that the t-SNE</w:t>
      </w:r>
      <w:r>
        <w:rPr>
          <w:rFonts w:hint="eastAsia"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GMM</w:t>
      </w:r>
      <w:r>
        <w:rPr>
          <w:rFonts w:hint="eastAsia"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KNN strategy preserves nonlinear manifold structure without introducing systematic bias when operated within the validated parameter space identified above.</w:t>
      </w:r>
    </w:p>
    <w:p w14:paraId="4F53681B">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5EE3310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1D8FFF51">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3.4.1 Virtual data analysis</w:t>
      </w:r>
    </w:p>
    <w:p w14:paraId="38427ABA">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address the modeling bias arising from limited measured samples, this study constructed virtual datasets at 1-10 times the original scale based on a strategy combining t-SNE dimensionality reduction, GMM clustering sampling, and KNN inverse mapping, to enhance the robustness of model training. Taking the 10x virtual dataset as an example, the statistical characteristics (Table</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4</w:t>
      </w:r>
      <w:r>
        <w:rPr>
          <w:rFonts w:hint="eastAsia" w:ascii="Times New Roman Regular" w:hAnsi="Times New Roman Regular" w:cs="Times New Roman Regular"/>
          <w:color w:val="0000FF"/>
        </w:rPr>
        <w:t>) show that the virtual samples effectively reproduced the central tendency and dispersion of the original data. For the normal season, the mean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concentration was 30.41 mg L</w:t>
      </w:r>
      <w:r>
        <w:rPr>
          <w:rFonts w:hint="eastAsia"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(vs.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mean of 33.67), with a standard deviation of 28.78 (vs. 35.83) and a coefficient of variation (CV) of 0.95 (vs. 1.06). In the dry season, the maximum value of the virtual samples reached 178.09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while this did not fully replicate the extreme high values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maximum of 358.58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it effectively expanded the range of the heavy-tailed distribution. For the wet season, although the CV for all indicators was slightly lower than the measured values, their ranges (8.47</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80.37 vs. 4.15</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98.36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still showed a high degree of overlap, indicating that no systematic distortion was introduced. </w:t>
      </w:r>
    </w:p>
    <w:p w14:paraId="696B032A">
      <w:pPr>
        <w:spacing w:line="300" w:lineRule="auto"/>
        <w:rPr>
          <w:rFonts w:ascii="Times New Roman Regular" w:hAnsi="Times New Roman Regular" w:cs="Times New Roman Regular"/>
          <w:color w:val="0000FF"/>
        </w:rPr>
      </w:pPr>
      <w:r>
        <w:rPr>
          <w:rFonts w:ascii="Times New Roman Bold" w:hAnsi="Times New Roman Bold" w:cs="Times New Roman Bold"/>
          <w:b/>
          <w:bCs/>
          <w:color w:val="0000FF"/>
        </w:rPr>
        <w:t xml:space="preserve">Table </w:t>
      </w:r>
      <w:r>
        <w:rPr>
          <w:rFonts w:hint="default" w:ascii="Times New Roman Bold" w:hAnsi="Times New Roman Bold" w:cs="Times New Roman Bold"/>
          <w:b/>
          <w:bCs/>
          <w:color w:val="0000FF"/>
          <w:lang w:val="en-US"/>
        </w:rPr>
        <w:t>4</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Statistical characteristics of different virtual</w:t>
      </w:r>
      <w:r>
        <w:rPr>
          <w:rFonts w:ascii="Times New Roman Regular" w:hAnsi="Times New Roman Regular" w:cs="Times New Roman Regular"/>
          <w:color w:val="0000FF"/>
        </w:rPr>
        <w:t xml:space="preserve"> samples</w:t>
      </w:r>
      <w:r>
        <w:rPr>
          <w:rFonts w:hint="eastAsia" w:ascii="Times New Roman Regular" w:hAnsi="Times New Roman Regular" w:cs="Times New Roman Regular"/>
          <w:color w:val="0000FF"/>
        </w:rPr>
        <w:t>.</w:t>
      </w:r>
    </w:p>
    <w:tbl>
      <w:tblPr>
        <w:tblStyle w:val="4"/>
        <w:tblW w:w="8790" w:type="dxa"/>
        <w:jc w:val="center"/>
        <w:tblLayout w:type="fixed"/>
        <w:tblCellMar>
          <w:top w:w="0" w:type="dxa"/>
          <w:left w:w="108" w:type="dxa"/>
          <w:bottom w:w="0" w:type="dxa"/>
          <w:right w:w="108" w:type="dxa"/>
        </w:tblCellMar>
      </w:tblPr>
      <w:tblGrid>
        <w:gridCol w:w="1436"/>
        <w:gridCol w:w="695"/>
        <w:gridCol w:w="801"/>
        <w:gridCol w:w="833"/>
        <w:gridCol w:w="982"/>
        <w:gridCol w:w="850"/>
        <w:gridCol w:w="863"/>
        <w:gridCol w:w="710"/>
        <w:gridCol w:w="810"/>
        <w:gridCol w:w="810"/>
      </w:tblGrid>
      <w:tr w14:paraId="55F803C8">
        <w:trPr>
          <w:trHeight w:val="340" w:hRule="atLeast"/>
          <w:jc w:val="center"/>
        </w:trPr>
        <w:tc>
          <w:tcPr>
            <w:tcW w:w="1436" w:type="dxa"/>
            <w:tcBorders>
              <w:top w:val="single" w:color="auto" w:sz="4" w:space="0"/>
              <w:left w:val="nil"/>
              <w:bottom w:val="nil"/>
              <w:right w:val="nil"/>
            </w:tcBorders>
            <w:noWrap/>
            <w:vAlign w:val="center"/>
          </w:tcPr>
          <w:p w14:paraId="49655B0B">
            <w:pPr>
              <w:widowControl/>
              <w:spacing w:line="300" w:lineRule="auto"/>
              <w:jc w:val="center"/>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Periods</w:t>
            </w:r>
          </w:p>
        </w:tc>
        <w:tc>
          <w:tcPr>
            <w:tcW w:w="695" w:type="dxa"/>
            <w:tcBorders>
              <w:top w:val="single" w:color="auto" w:sz="4" w:space="0"/>
              <w:left w:val="nil"/>
              <w:bottom w:val="nil"/>
              <w:right w:val="nil"/>
            </w:tcBorders>
            <w:noWrap/>
            <w:vAlign w:val="center"/>
          </w:tcPr>
          <w:p w14:paraId="50628757">
            <w:pPr>
              <w:spacing w:line="300" w:lineRule="auto"/>
              <w:jc w:val="center"/>
              <w:rPr>
                <w:rFonts w:ascii="Times New Roman" w:hAnsi="Times New Roman" w:eastAsia="宋体" w:cs="Times New Roman"/>
                <w:color w:val="0000FF"/>
                <w:sz w:val="18"/>
                <w:szCs w:val="18"/>
              </w:rPr>
            </w:pPr>
          </w:p>
        </w:tc>
        <w:tc>
          <w:tcPr>
            <w:tcW w:w="801" w:type="dxa"/>
            <w:tcBorders>
              <w:top w:val="single" w:color="auto" w:sz="4" w:space="0"/>
              <w:left w:val="nil"/>
              <w:bottom w:val="nil"/>
              <w:right w:val="nil"/>
            </w:tcBorders>
            <w:noWrap/>
            <w:vAlign w:val="center"/>
          </w:tcPr>
          <w:p w14:paraId="6EEF0658">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pH</w:t>
            </w:r>
          </w:p>
        </w:tc>
        <w:tc>
          <w:tcPr>
            <w:tcW w:w="833" w:type="dxa"/>
            <w:tcBorders>
              <w:top w:val="single" w:color="auto" w:sz="4" w:space="0"/>
              <w:left w:val="nil"/>
              <w:bottom w:val="nil"/>
              <w:right w:val="nil"/>
            </w:tcBorders>
            <w:noWrap/>
            <w:vAlign w:val="center"/>
          </w:tcPr>
          <w:p w14:paraId="62D353D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w:t>
            </w:r>
          </w:p>
        </w:tc>
        <w:tc>
          <w:tcPr>
            <w:tcW w:w="982" w:type="dxa"/>
            <w:tcBorders>
              <w:top w:val="single" w:color="auto" w:sz="4" w:space="0"/>
              <w:left w:val="nil"/>
              <w:bottom w:val="nil"/>
              <w:right w:val="nil"/>
            </w:tcBorders>
            <w:noWrap/>
            <w:vAlign w:val="center"/>
          </w:tcPr>
          <w:p w14:paraId="6043E19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EC</w:t>
            </w:r>
          </w:p>
        </w:tc>
        <w:tc>
          <w:tcPr>
            <w:tcW w:w="850" w:type="dxa"/>
            <w:tcBorders>
              <w:top w:val="single" w:color="auto" w:sz="4" w:space="0"/>
              <w:left w:val="nil"/>
              <w:bottom w:val="nil"/>
              <w:right w:val="nil"/>
            </w:tcBorders>
            <w:noWrap/>
            <w:vAlign w:val="center"/>
          </w:tcPr>
          <w:p w14:paraId="2731C462">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DO</w:t>
            </w:r>
          </w:p>
        </w:tc>
        <w:tc>
          <w:tcPr>
            <w:tcW w:w="863" w:type="dxa"/>
            <w:tcBorders>
              <w:top w:val="single" w:color="auto" w:sz="4" w:space="0"/>
              <w:left w:val="nil"/>
              <w:bottom w:val="nil"/>
              <w:right w:val="nil"/>
            </w:tcBorders>
            <w:noWrap/>
            <w:vAlign w:val="center"/>
          </w:tcPr>
          <w:p w14:paraId="3B47A05E">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ORP</w:t>
            </w:r>
          </w:p>
        </w:tc>
        <w:tc>
          <w:tcPr>
            <w:tcW w:w="710" w:type="dxa"/>
            <w:tcBorders>
              <w:top w:val="single" w:color="auto" w:sz="4" w:space="0"/>
              <w:left w:val="nil"/>
              <w:bottom w:val="nil"/>
              <w:right w:val="nil"/>
            </w:tcBorders>
            <w:noWrap/>
            <w:vAlign w:val="center"/>
          </w:tcPr>
          <w:p w14:paraId="45E01BE7">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Salt</w:t>
            </w:r>
          </w:p>
        </w:tc>
        <w:tc>
          <w:tcPr>
            <w:tcW w:w="810" w:type="dxa"/>
            <w:tcBorders>
              <w:top w:val="single" w:color="auto" w:sz="4" w:space="0"/>
              <w:left w:val="nil"/>
              <w:bottom w:val="nil"/>
              <w:right w:val="nil"/>
            </w:tcBorders>
            <w:noWrap/>
            <w:vAlign w:val="center"/>
          </w:tcPr>
          <w:p w14:paraId="419B3A05">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TDS</w:t>
            </w:r>
          </w:p>
        </w:tc>
        <w:tc>
          <w:tcPr>
            <w:tcW w:w="810" w:type="dxa"/>
            <w:tcBorders>
              <w:top w:val="single" w:color="auto" w:sz="4" w:space="0"/>
              <w:left w:val="nil"/>
              <w:bottom w:val="nil"/>
              <w:right w:val="nil"/>
            </w:tcBorders>
            <w:noWrap/>
            <w:vAlign w:val="center"/>
          </w:tcPr>
          <w:p w14:paraId="7B0DA82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w:t>
            </w:r>
            <w:r>
              <w:rPr>
                <w:rFonts w:ascii="Times New Roman Regular" w:hAnsi="Times New Roman Regular" w:eastAsia="宋体" w:cs="Times New Roman Regular"/>
                <w:color w:val="0000FF"/>
                <w:kern w:val="0"/>
                <w:sz w:val="18"/>
                <w:szCs w:val="18"/>
                <w:vertAlign w:val="subscript"/>
                <w:lang w:bidi="ar"/>
              </w:rPr>
              <w:t>3</w:t>
            </w:r>
            <w:r>
              <w:rPr>
                <w:rFonts w:ascii="Times New Roman Regular" w:hAnsi="Times New Roman Regular" w:eastAsia="宋体" w:cs="Times New Roman Regular"/>
                <w:color w:val="0000FF"/>
                <w:kern w:val="0"/>
                <w:sz w:val="18"/>
                <w:szCs w:val="18"/>
                <w:vertAlign w:val="superscript"/>
                <w:lang w:bidi="ar"/>
              </w:rPr>
              <w:t>-</w:t>
            </w:r>
          </w:p>
        </w:tc>
      </w:tr>
      <w:tr w14:paraId="664E910C">
        <w:trPr>
          <w:trHeight w:val="340" w:hRule="atLeast"/>
          <w:jc w:val="center"/>
        </w:trPr>
        <w:tc>
          <w:tcPr>
            <w:tcW w:w="1436" w:type="dxa"/>
            <w:tcBorders>
              <w:top w:val="nil"/>
              <w:left w:val="nil"/>
              <w:bottom w:val="single" w:color="auto" w:sz="4" w:space="0"/>
              <w:right w:val="nil"/>
            </w:tcBorders>
            <w:noWrap/>
            <w:vAlign w:val="center"/>
          </w:tcPr>
          <w:p w14:paraId="26B5EAF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C04FC39">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Unit</w:t>
            </w:r>
          </w:p>
        </w:tc>
        <w:tc>
          <w:tcPr>
            <w:tcW w:w="801" w:type="dxa"/>
            <w:tcBorders>
              <w:top w:val="nil"/>
              <w:left w:val="nil"/>
              <w:bottom w:val="single" w:color="auto" w:sz="4" w:space="0"/>
              <w:right w:val="nil"/>
            </w:tcBorders>
            <w:noWrap/>
            <w:vAlign w:val="center"/>
          </w:tcPr>
          <w:p w14:paraId="564CEA67">
            <w:pPr>
              <w:spacing w:line="300" w:lineRule="auto"/>
              <w:rPr>
                <w:rFonts w:ascii="Times New Roman Regular" w:hAnsi="Times New Roman Regular" w:eastAsia="宋体" w:cs="Times New Roman Regular"/>
                <w:color w:val="0000FF"/>
                <w:sz w:val="18"/>
                <w:szCs w:val="18"/>
              </w:rPr>
            </w:pPr>
          </w:p>
        </w:tc>
        <w:tc>
          <w:tcPr>
            <w:tcW w:w="833" w:type="dxa"/>
            <w:tcBorders>
              <w:top w:val="nil"/>
              <w:left w:val="nil"/>
              <w:bottom w:val="single" w:color="auto" w:sz="4" w:space="0"/>
              <w:right w:val="nil"/>
            </w:tcBorders>
            <w:noWrap/>
            <w:vAlign w:val="center"/>
          </w:tcPr>
          <w:p w14:paraId="5FC9472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t>
            </w:r>
          </w:p>
        </w:tc>
        <w:tc>
          <w:tcPr>
            <w:tcW w:w="982" w:type="dxa"/>
            <w:tcBorders>
              <w:top w:val="nil"/>
              <w:left w:val="nil"/>
              <w:bottom w:val="single" w:color="auto" w:sz="4" w:space="0"/>
              <w:right w:val="nil"/>
            </w:tcBorders>
            <w:noWrap/>
            <w:vAlign w:val="center"/>
          </w:tcPr>
          <w:p w14:paraId="47BADBC3">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μs cm</w:t>
            </w:r>
            <w:r>
              <w:rPr>
                <w:rFonts w:ascii="Times New Roman Regular" w:hAnsi="Times New Roman Regular" w:eastAsia="宋体" w:cs="Times New Roman Regular"/>
                <w:color w:val="0000FF"/>
                <w:kern w:val="0"/>
                <w:sz w:val="18"/>
                <w:szCs w:val="18"/>
                <w:vertAlign w:val="superscript"/>
                <w:lang w:bidi="ar"/>
              </w:rPr>
              <w:t>-1</w:t>
            </w:r>
          </w:p>
        </w:tc>
        <w:tc>
          <w:tcPr>
            <w:tcW w:w="850" w:type="dxa"/>
            <w:tcBorders>
              <w:top w:val="nil"/>
              <w:left w:val="nil"/>
              <w:bottom w:val="single" w:color="auto" w:sz="4" w:space="0"/>
              <w:right w:val="nil"/>
            </w:tcBorders>
            <w:noWrap/>
            <w:vAlign w:val="center"/>
          </w:tcPr>
          <w:p w14:paraId="668D9DB5">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63" w:type="dxa"/>
            <w:tcBorders>
              <w:top w:val="nil"/>
              <w:left w:val="nil"/>
              <w:bottom w:val="single" w:color="auto" w:sz="4" w:space="0"/>
              <w:right w:val="nil"/>
            </w:tcBorders>
            <w:noWrap/>
            <w:vAlign w:val="center"/>
          </w:tcPr>
          <w:p w14:paraId="61E808BC">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mv</w:t>
            </w:r>
          </w:p>
        </w:tc>
        <w:tc>
          <w:tcPr>
            <w:tcW w:w="710" w:type="dxa"/>
            <w:tcBorders>
              <w:top w:val="nil"/>
              <w:left w:val="nil"/>
              <w:bottom w:val="single" w:color="auto" w:sz="4" w:space="0"/>
              <w:right w:val="nil"/>
            </w:tcBorders>
            <w:noWrap/>
            <w:vAlign w:val="center"/>
          </w:tcPr>
          <w:p w14:paraId="1DA4084A">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ppt</w:t>
            </w:r>
          </w:p>
        </w:tc>
        <w:tc>
          <w:tcPr>
            <w:tcW w:w="810" w:type="dxa"/>
            <w:tcBorders>
              <w:top w:val="nil"/>
              <w:left w:val="nil"/>
              <w:bottom w:val="single" w:color="auto" w:sz="4" w:space="0"/>
              <w:right w:val="nil"/>
            </w:tcBorders>
            <w:noWrap/>
            <w:vAlign w:val="center"/>
          </w:tcPr>
          <w:p w14:paraId="38DEB94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10" w:type="dxa"/>
            <w:tcBorders>
              <w:top w:val="nil"/>
              <w:left w:val="nil"/>
              <w:bottom w:val="single" w:color="auto" w:sz="4" w:space="0"/>
              <w:right w:val="nil"/>
            </w:tcBorders>
            <w:noWrap/>
            <w:vAlign w:val="center"/>
          </w:tcPr>
          <w:p w14:paraId="5375B93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r>
      <w:tr w14:paraId="0A1A9415">
        <w:trPr>
          <w:trHeight w:val="336" w:hRule="atLeast"/>
          <w:jc w:val="center"/>
        </w:trPr>
        <w:tc>
          <w:tcPr>
            <w:tcW w:w="1436" w:type="dxa"/>
            <w:tcBorders>
              <w:top w:val="single" w:color="auto" w:sz="4" w:space="0"/>
              <w:left w:val="nil"/>
              <w:bottom w:val="nil"/>
              <w:right w:val="nil"/>
            </w:tcBorders>
            <w:noWrap/>
            <w:vAlign w:val="center"/>
          </w:tcPr>
          <w:p w14:paraId="6F1F6A0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Normal season</w:t>
            </w:r>
          </w:p>
        </w:tc>
        <w:tc>
          <w:tcPr>
            <w:tcW w:w="695" w:type="dxa"/>
            <w:tcBorders>
              <w:top w:val="single" w:color="auto" w:sz="4" w:space="0"/>
              <w:left w:val="nil"/>
              <w:bottom w:val="nil"/>
              <w:right w:val="nil"/>
            </w:tcBorders>
            <w:noWrap/>
            <w:vAlign w:val="center"/>
          </w:tcPr>
          <w:p w14:paraId="233455C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single" w:color="auto" w:sz="4" w:space="0"/>
              <w:left w:val="nil"/>
              <w:bottom w:val="nil"/>
              <w:right w:val="nil"/>
            </w:tcBorders>
            <w:noWrap/>
            <w:vAlign w:val="center"/>
          </w:tcPr>
          <w:p w14:paraId="29CAAFA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8.32</w:t>
            </w:r>
          </w:p>
        </w:tc>
        <w:tc>
          <w:tcPr>
            <w:tcW w:w="833" w:type="dxa"/>
            <w:tcBorders>
              <w:top w:val="single" w:color="auto" w:sz="4" w:space="0"/>
              <w:left w:val="nil"/>
              <w:bottom w:val="nil"/>
              <w:right w:val="nil"/>
            </w:tcBorders>
            <w:noWrap/>
            <w:vAlign w:val="center"/>
          </w:tcPr>
          <w:p w14:paraId="5FC1214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16.2</w:t>
            </w:r>
          </w:p>
        </w:tc>
        <w:tc>
          <w:tcPr>
            <w:tcW w:w="982" w:type="dxa"/>
            <w:tcBorders>
              <w:top w:val="single" w:color="auto" w:sz="4" w:space="0"/>
              <w:left w:val="nil"/>
              <w:bottom w:val="nil"/>
              <w:right w:val="nil"/>
            </w:tcBorders>
            <w:noWrap/>
            <w:vAlign w:val="center"/>
          </w:tcPr>
          <w:p w14:paraId="0F27C1C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963.6</w:t>
            </w:r>
          </w:p>
        </w:tc>
        <w:tc>
          <w:tcPr>
            <w:tcW w:w="850" w:type="dxa"/>
            <w:tcBorders>
              <w:top w:val="single" w:color="auto" w:sz="4" w:space="0"/>
              <w:left w:val="nil"/>
              <w:bottom w:val="nil"/>
              <w:right w:val="nil"/>
            </w:tcBorders>
            <w:noWrap/>
            <w:vAlign w:val="center"/>
          </w:tcPr>
          <w:p w14:paraId="034175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9.31</w:t>
            </w:r>
          </w:p>
        </w:tc>
        <w:tc>
          <w:tcPr>
            <w:tcW w:w="863" w:type="dxa"/>
            <w:tcBorders>
              <w:top w:val="single" w:color="auto" w:sz="4" w:space="0"/>
              <w:left w:val="nil"/>
              <w:bottom w:val="nil"/>
              <w:right w:val="nil"/>
            </w:tcBorders>
            <w:noWrap/>
            <w:vAlign w:val="center"/>
          </w:tcPr>
          <w:p w14:paraId="01545EB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101.02</w:t>
            </w:r>
          </w:p>
        </w:tc>
        <w:tc>
          <w:tcPr>
            <w:tcW w:w="710" w:type="dxa"/>
            <w:tcBorders>
              <w:top w:val="single" w:color="auto" w:sz="4" w:space="0"/>
              <w:left w:val="nil"/>
              <w:bottom w:val="nil"/>
              <w:right w:val="nil"/>
            </w:tcBorders>
            <w:noWrap/>
            <w:vAlign w:val="center"/>
          </w:tcPr>
          <w:p w14:paraId="1CC206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0.42</w:t>
            </w:r>
          </w:p>
        </w:tc>
        <w:tc>
          <w:tcPr>
            <w:tcW w:w="810" w:type="dxa"/>
            <w:tcBorders>
              <w:top w:val="single" w:color="auto" w:sz="4" w:space="0"/>
              <w:left w:val="nil"/>
              <w:bottom w:val="nil"/>
              <w:right w:val="nil"/>
            </w:tcBorders>
            <w:noWrap/>
            <w:vAlign w:val="center"/>
          </w:tcPr>
          <w:p w14:paraId="5A6EBE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628.6</w:t>
            </w:r>
          </w:p>
        </w:tc>
        <w:tc>
          <w:tcPr>
            <w:tcW w:w="810" w:type="dxa"/>
            <w:tcBorders>
              <w:top w:val="single" w:color="auto" w:sz="4" w:space="0"/>
              <w:left w:val="nil"/>
              <w:bottom w:val="nil"/>
              <w:right w:val="nil"/>
            </w:tcBorders>
            <w:noWrap/>
            <w:vAlign w:val="center"/>
          </w:tcPr>
          <w:p w14:paraId="65A1C54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124.03</w:t>
            </w:r>
          </w:p>
        </w:tc>
      </w:tr>
      <w:tr w14:paraId="0D85B0B2">
        <w:trPr>
          <w:trHeight w:val="336" w:hRule="atLeast"/>
          <w:jc w:val="center"/>
        </w:trPr>
        <w:tc>
          <w:tcPr>
            <w:tcW w:w="1436" w:type="dxa"/>
            <w:tcBorders>
              <w:top w:val="nil"/>
              <w:left w:val="nil"/>
              <w:bottom w:val="nil"/>
              <w:right w:val="nil"/>
            </w:tcBorders>
            <w:noWrap/>
            <w:vAlign w:val="center"/>
          </w:tcPr>
          <w:p w14:paraId="38AFA83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n=66</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45D453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D8E0DE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7.95</w:t>
            </w:r>
          </w:p>
        </w:tc>
        <w:tc>
          <w:tcPr>
            <w:tcW w:w="833" w:type="dxa"/>
            <w:tcBorders>
              <w:top w:val="nil"/>
              <w:left w:val="nil"/>
              <w:bottom w:val="nil"/>
              <w:right w:val="nil"/>
            </w:tcBorders>
            <w:noWrap/>
            <w:vAlign w:val="center"/>
          </w:tcPr>
          <w:p w14:paraId="4DB7C32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13.88</w:t>
            </w:r>
          </w:p>
        </w:tc>
        <w:tc>
          <w:tcPr>
            <w:tcW w:w="982" w:type="dxa"/>
            <w:tcBorders>
              <w:top w:val="nil"/>
              <w:left w:val="nil"/>
              <w:bottom w:val="nil"/>
              <w:right w:val="nil"/>
            </w:tcBorders>
            <w:noWrap/>
            <w:vAlign w:val="center"/>
          </w:tcPr>
          <w:p w14:paraId="1DC5F15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378.2</w:t>
            </w:r>
          </w:p>
        </w:tc>
        <w:tc>
          <w:tcPr>
            <w:tcW w:w="850" w:type="dxa"/>
            <w:tcBorders>
              <w:top w:val="nil"/>
              <w:left w:val="nil"/>
              <w:bottom w:val="nil"/>
              <w:right w:val="nil"/>
            </w:tcBorders>
            <w:noWrap/>
            <w:vAlign w:val="center"/>
          </w:tcPr>
          <w:p w14:paraId="4DC8E9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3.52</w:t>
            </w:r>
          </w:p>
        </w:tc>
        <w:tc>
          <w:tcPr>
            <w:tcW w:w="863" w:type="dxa"/>
            <w:tcBorders>
              <w:top w:val="nil"/>
              <w:left w:val="nil"/>
              <w:bottom w:val="nil"/>
              <w:right w:val="nil"/>
            </w:tcBorders>
            <w:noWrap/>
            <w:vAlign w:val="center"/>
          </w:tcPr>
          <w:p w14:paraId="2FA566B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-48.28</w:t>
            </w:r>
          </w:p>
        </w:tc>
        <w:tc>
          <w:tcPr>
            <w:tcW w:w="710" w:type="dxa"/>
            <w:tcBorders>
              <w:top w:val="nil"/>
              <w:left w:val="nil"/>
              <w:bottom w:val="nil"/>
              <w:right w:val="nil"/>
            </w:tcBorders>
            <w:noWrap/>
            <w:vAlign w:val="center"/>
          </w:tcPr>
          <w:p w14:paraId="77635E3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0.12</w:t>
            </w:r>
          </w:p>
        </w:tc>
        <w:tc>
          <w:tcPr>
            <w:tcW w:w="810" w:type="dxa"/>
            <w:tcBorders>
              <w:top w:val="nil"/>
              <w:left w:val="nil"/>
              <w:bottom w:val="nil"/>
              <w:right w:val="nil"/>
            </w:tcBorders>
            <w:noWrap/>
            <w:vAlign w:val="center"/>
          </w:tcPr>
          <w:p w14:paraId="3A23347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245</w:t>
            </w:r>
          </w:p>
        </w:tc>
        <w:tc>
          <w:tcPr>
            <w:tcW w:w="810" w:type="dxa"/>
            <w:tcBorders>
              <w:top w:val="nil"/>
              <w:left w:val="nil"/>
              <w:bottom w:val="nil"/>
              <w:right w:val="nil"/>
            </w:tcBorders>
            <w:noWrap/>
            <w:vAlign w:val="center"/>
          </w:tcPr>
          <w:p w14:paraId="73A149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5.10</w:t>
            </w:r>
          </w:p>
        </w:tc>
      </w:tr>
      <w:tr w14:paraId="24000CBD">
        <w:trPr>
          <w:trHeight w:val="336" w:hRule="atLeast"/>
          <w:jc w:val="center"/>
        </w:trPr>
        <w:tc>
          <w:tcPr>
            <w:tcW w:w="1436" w:type="dxa"/>
            <w:tcBorders>
              <w:top w:val="nil"/>
              <w:left w:val="nil"/>
              <w:bottom w:val="nil"/>
              <w:right w:val="nil"/>
            </w:tcBorders>
            <w:noWrap/>
            <w:vAlign w:val="center"/>
          </w:tcPr>
          <w:p w14:paraId="5CD8463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00BD7D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116373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8.18</w:t>
            </w:r>
          </w:p>
        </w:tc>
        <w:tc>
          <w:tcPr>
            <w:tcW w:w="833" w:type="dxa"/>
            <w:tcBorders>
              <w:top w:val="nil"/>
              <w:left w:val="nil"/>
              <w:bottom w:val="nil"/>
              <w:right w:val="nil"/>
            </w:tcBorders>
            <w:noWrap/>
            <w:vAlign w:val="center"/>
          </w:tcPr>
          <w:p w14:paraId="2F55919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14.72</w:t>
            </w:r>
          </w:p>
        </w:tc>
        <w:tc>
          <w:tcPr>
            <w:tcW w:w="982" w:type="dxa"/>
            <w:tcBorders>
              <w:top w:val="nil"/>
              <w:left w:val="nil"/>
              <w:bottom w:val="nil"/>
              <w:right w:val="nil"/>
            </w:tcBorders>
            <w:noWrap/>
            <w:vAlign w:val="center"/>
          </w:tcPr>
          <w:p w14:paraId="00C00B4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527.31</w:t>
            </w:r>
          </w:p>
        </w:tc>
        <w:tc>
          <w:tcPr>
            <w:tcW w:w="850" w:type="dxa"/>
            <w:tcBorders>
              <w:top w:val="nil"/>
              <w:left w:val="nil"/>
              <w:bottom w:val="nil"/>
              <w:right w:val="nil"/>
            </w:tcBorders>
            <w:noWrap/>
            <w:vAlign w:val="center"/>
          </w:tcPr>
          <w:p w14:paraId="627C809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6.66</w:t>
            </w:r>
          </w:p>
        </w:tc>
        <w:tc>
          <w:tcPr>
            <w:tcW w:w="863" w:type="dxa"/>
            <w:tcBorders>
              <w:top w:val="nil"/>
              <w:left w:val="nil"/>
              <w:bottom w:val="nil"/>
              <w:right w:val="nil"/>
            </w:tcBorders>
            <w:noWrap/>
            <w:vAlign w:val="center"/>
          </w:tcPr>
          <w:p w14:paraId="5D5D57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2.09</w:t>
            </w:r>
          </w:p>
        </w:tc>
        <w:tc>
          <w:tcPr>
            <w:tcW w:w="710" w:type="dxa"/>
            <w:tcBorders>
              <w:top w:val="nil"/>
              <w:left w:val="nil"/>
              <w:bottom w:val="nil"/>
              <w:right w:val="nil"/>
            </w:tcBorders>
            <w:noWrap/>
            <w:vAlign w:val="center"/>
          </w:tcPr>
          <w:p w14:paraId="60F5955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486F1CD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342.72</w:t>
            </w:r>
          </w:p>
        </w:tc>
        <w:tc>
          <w:tcPr>
            <w:tcW w:w="810" w:type="dxa"/>
            <w:tcBorders>
              <w:top w:val="nil"/>
              <w:left w:val="nil"/>
              <w:bottom w:val="nil"/>
              <w:right w:val="nil"/>
            </w:tcBorders>
            <w:noWrap/>
            <w:vAlign w:val="center"/>
          </w:tcPr>
          <w:p w14:paraId="69B370E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30.41</w:t>
            </w:r>
          </w:p>
        </w:tc>
      </w:tr>
      <w:tr w14:paraId="36AD9D77">
        <w:trPr>
          <w:trHeight w:val="336" w:hRule="atLeast"/>
          <w:jc w:val="center"/>
        </w:trPr>
        <w:tc>
          <w:tcPr>
            <w:tcW w:w="1436" w:type="dxa"/>
            <w:tcBorders>
              <w:top w:val="nil"/>
              <w:left w:val="nil"/>
              <w:bottom w:val="nil"/>
              <w:right w:val="nil"/>
            </w:tcBorders>
            <w:noWrap/>
            <w:vAlign w:val="center"/>
          </w:tcPr>
          <w:p w14:paraId="30F583E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5D3100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D1BFE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0.07</w:t>
            </w:r>
          </w:p>
        </w:tc>
        <w:tc>
          <w:tcPr>
            <w:tcW w:w="833" w:type="dxa"/>
            <w:tcBorders>
              <w:top w:val="nil"/>
              <w:left w:val="nil"/>
              <w:bottom w:val="nil"/>
              <w:right w:val="nil"/>
            </w:tcBorders>
            <w:noWrap/>
            <w:vAlign w:val="center"/>
          </w:tcPr>
          <w:p w14:paraId="55EDC9B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0.54</w:t>
            </w:r>
          </w:p>
        </w:tc>
        <w:tc>
          <w:tcPr>
            <w:tcW w:w="982" w:type="dxa"/>
            <w:tcBorders>
              <w:top w:val="nil"/>
              <w:left w:val="nil"/>
              <w:bottom w:val="nil"/>
              <w:right w:val="nil"/>
            </w:tcBorders>
            <w:noWrap/>
            <w:vAlign w:val="center"/>
          </w:tcPr>
          <w:p w14:paraId="1E60ED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148.31</w:t>
            </w:r>
          </w:p>
        </w:tc>
        <w:tc>
          <w:tcPr>
            <w:tcW w:w="850" w:type="dxa"/>
            <w:tcBorders>
              <w:top w:val="nil"/>
              <w:left w:val="nil"/>
              <w:bottom w:val="nil"/>
              <w:right w:val="nil"/>
            </w:tcBorders>
            <w:noWrap/>
            <w:vAlign w:val="center"/>
          </w:tcPr>
          <w:p w14:paraId="078B623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1.66</w:t>
            </w:r>
          </w:p>
        </w:tc>
        <w:tc>
          <w:tcPr>
            <w:tcW w:w="863" w:type="dxa"/>
            <w:tcBorders>
              <w:top w:val="nil"/>
              <w:left w:val="nil"/>
              <w:bottom w:val="nil"/>
              <w:right w:val="nil"/>
            </w:tcBorders>
            <w:noWrap/>
            <w:vAlign w:val="center"/>
          </w:tcPr>
          <w:p w14:paraId="094393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25.97</w:t>
            </w:r>
          </w:p>
        </w:tc>
        <w:tc>
          <w:tcPr>
            <w:tcW w:w="710" w:type="dxa"/>
            <w:tcBorders>
              <w:top w:val="nil"/>
              <w:left w:val="nil"/>
              <w:bottom w:val="nil"/>
              <w:right w:val="nil"/>
            </w:tcBorders>
            <w:noWrap/>
            <w:vAlign w:val="center"/>
          </w:tcPr>
          <w:p w14:paraId="0077AB9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09FEDB4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96.92</w:t>
            </w:r>
          </w:p>
        </w:tc>
        <w:tc>
          <w:tcPr>
            <w:tcW w:w="810" w:type="dxa"/>
            <w:tcBorders>
              <w:top w:val="nil"/>
              <w:left w:val="nil"/>
              <w:bottom w:val="nil"/>
              <w:right w:val="nil"/>
            </w:tcBorders>
            <w:noWrap/>
            <w:vAlign w:val="center"/>
          </w:tcPr>
          <w:p w14:paraId="112E42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28.78</w:t>
            </w:r>
          </w:p>
        </w:tc>
      </w:tr>
      <w:tr w14:paraId="5503B8F4">
        <w:trPr>
          <w:trHeight w:val="336" w:hRule="atLeast"/>
          <w:jc w:val="center"/>
        </w:trPr>
        <w:tc>
          <w:tcPr>
            <w:tcW w:w="1436" w:type="dxa"/>
            <w:tcBorders>
              <w:top w:val="nil"/>
              <w:left w:val="nil"/>
              <w:bottom w:val="nil"/>
              <w:right w:val="nil"/>
            </w:tcBorders>
            <w:noWrap/>
            <w:vAlign w:val="center"/>
          </w:tcPr>
          <w:p w14:paraId="3D7EA9A5">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3F3F0525">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6FB52C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0.01</w:t>
            </w:r>
          </w:p>
        </w:tc>
        <w:tc>
          <w:tcPr>
            <w:tcW w:w="833" w:type="dxa"/>
            <w:tcBorders>
              <w:top w:val="nil"/>
              <w:left w:val="nil"/>
              <w:bottom w:val="nil"/>
              <w:right w:val="nil"/>
            </w:tcBorders>
            <w:noWrap/>
            <w:vAlign w:val="center"/>
          </w:tcPr>
          <w:p w14:paraId="148BC9D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51CC091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50" w:type="dxa"/>
            <w:tcBorders>
              <w:top w:val="nil"/>
              <w:left w:val="nil"/>
              <w:bottom w:val="nil"/>
              <w:right w:val="nil"/>
            </w:tcBorders>
            <w:noWrap/>
            <w:vAlign w:val="center"/>
          </w:tcPr>
          <w:p w14:paraId="1B8671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63" w:type="dxa"/>
            <w:tcBorders>
              <w:top w:val="nil"/>
              <w:left w:val="nil"/>
              <w:bottom w:val="nil"/>
              <w:right w:val="nil"/>
            </w:tcBorders>
            <w:noWrap/>
            <w:vAlign w:val="center"/>
          </w:tcPr>
          <w:p w14:paraId="0FC1198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12.44</w:t>
            </w:r>
          </w:p>
        </w:tc>
        <w:tc>
          <w:tcPr>
            <w:tcW w:w="710" w:type="dxa"/>
            <w:tcBorders>
              <w:top w:val="nil"/>
              <w:left w:val="nil"/>
              <w:bottom w:val="nil"/>
              <w:right w:val="nil"/>
            </w:tcBorders>
            <w:noWrap/>
            <w:vAlign w:val="center"/>
          </w:tcPr>
          <w:p w14:paraId="7DFC4DA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0.41</w:t>
            </w:r>
          </w:p>
        </w:tc>
        <w:tc>
          <w:tcPr>
            <w:tcW w:w="810" w:type="dxa"/>
            <w:tcBorders>
              <w:top w:val="nil"/>
              <w:left w:val="nil"/>
              <w:bottom w:val="nil"/>
              <w:right w:val="nil"/>
            </w:tcBorders>
            <w:noWrap/>
            <w:vAlign w:val="center"/>
          </w:tcPr>
          <w:p w14:paraId="533C70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10" w:type="dxa"/>
            <w:tcBorders>
              <w:top w:val="nil"/>
              <w:left w:val="nil"/>
              <w:bottom w:val="nil"/>
              <w:right w:val="nil"/>
            </w:tcBorders>
            <w:noWrap/>
            <w:vAlign w:val="center"/>
          </w:tcPr>
          <w:p w14:paraId="50C29C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0.95</w:t>
            </w:r>
          </w:p>
        </w:tc>
      </w:tr>
      <w:tr w14:paraId="7439BD8E">
        <w:trPr>
          <w:trHeight w:val="336" w:hRule="atLeast"/>
          <w:jc w:val="center"/>
        </w:trPr>
        <w:tc>
          <w:tcPr>
            <w:tcW w:w="1436" w:type="dxa"/>
            <w:tcBorders>
              <w:top w:val="nil"/>
              <w:left w:val="nil"/>
              <w:bottom w:val="nil"/>
              <w:right w:val="nil"/>
            </w:tcBorders>
            <w:noWrap/>
            <w:vAlign w:val="center"/>
          </w:tcPr>
          <w:p w14:paraId="0ADB4E9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Dry season</w:t>
            </w:r>
          </w:p>
        </w:tc>
        <w:tc>
          <w:tcPr>
            <w:tcW w:w="695" w:type="dxa"/>
            <w:tcBorders>
              <w:top w:val="nil"/>
              <w:left w:val="nil"/>
              <w:bottom w:val="nil"/>
              <w:right w:val="nil"/>
            </w:tcBorders>
            <w:noWrap/>
            <w:vAlign w:val="center"/>
          </w:tcPr>
          <w:p w14:paraId="1A63E568">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056490B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8.19</w:t>
            </w:r>
          </w:p>
        </w:tc>
        <w:tc>
          <w:tcPr>
            <w:tcW w:w="833" w:type="dxa"/>
            <w:tcBorders>
              <w:top w:val="nil"/>
              <w:left w:val="nil"/>
              <w:bottom w:val="nil"/>
              <w:right w:val="nil"/>
            </w:tcBorders>
            <w:noWrap/>
            <w:vAlign w:val="center"/>
          </w:tcPr>
          <w:p w14:paraId="7E1160D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17.59</w:t>
            </w:r>
          </w:p>
        </w:tc>
        <w:tc>
          <w:tcPr>
            <w:tcW w:w="982" w:type="dxa"/>
            <w:tcBorders>
              <w:top w:val="nil"/>
              <w:left w:val="nil"/>
              <w:bottom w:val="nil"/>
              <w:right w:val="nil"/>
            </w:tcBorders>
            <w:noWrap/>
            <w:vAlign w:val="center"/>
          </w:tcPr>
          <w:p w14:paraId="7BBD5B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987.8</w:t>
            </w:r>
          </w:p>
        </w:tc>
        <w:tc>
          <w:tcPr>
            <w:tcW w:w="850" w:type="dxa"/>
            <w:tcBorders>
              <w:top w:val="nil"/>
              <w:left w:val="nil"/>
              <w:bottom w:val="nil"/>
              <w:right w:val="nil"/>
            </w:tcBorders>
            <w:noWrap/>
            <w:vAlign w:val="center"/>
          </w:tcPr>
          <w:p w14:paraId="2A7B2BC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8.10</w:t>
            </w:r>
          </w:p>
        </w:tc>
        <w:tc>
          <w:tcPr>
            <w:tcW w:w="863" w:type="dxa"/>
            <w:tcBorders>
              <w:top w:val="nil"/>
              <w:left w:val="nil"/>
              <w:bottom w:val="nil"/>
              <w:right w:val="nil"/>
            </w:tcBorders>
            <w:noWrap/>
            <w:vAlign w:val="center"/>
          </w:tcPr>
          <w:p w14:paraId="524BEF3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69.18</w:t>
            </w:r>
          </w:p>
        </w:tc>
        <w:tc>
          <w:tcPr>
            <w:tcW w:w="710" w:type="dxa"/>
            <w:tcBorders>
              <w:top w:val="nil"/>
              <w:left w:val="nil"/>
              <w:bottom w:val="nil"/>
              <w:right w:val="nil"/>
            </w:tcBorders>
            <w:noWrap/>
            <w:vAlign w:val="center"/>
          </w:tcPr>
          <w:p w14:paraId="46254DC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10" w:type="dxa"/>
            <w:tcBorders>
              <w:top w:val="nil"/>
              <w:left w:val="nil"/>
              <w:bottom w:val="nil"/>
              <w:right w:val="nil"/>
            </w:tcBorders>
            <w:noWrap/>
            <w:vAlign w:val="center"/>
          </w:tcPr>
          <w:p w14:paraId="2026812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641.8</w:t>
            </w:r>
          </w:p>
        </w:tc>
        <w:tc>
          <w:tcPr>
            <w:tcW w:w="810" w:type="dxa"/>
            <w:tcBorders>
              <w:top w:val="nil"/>
              <w:left w:val="nil"/>
              <w:bottom w:val="nil"/>
              <w:right w:val="nil"/>
            </w:tcBorders>
            <w:noWrap/>
            <w:vAlign w:val="center"/>
          </w:tcPr>
          <w:p w14:paraId="00345F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178.09</w:t>
            </w:r>
          </w:p>
        </w:tc>
      </w:tr>
      <w:tr w14:paraId="7EDCA2B8">
        <w:trPr>
          <w:trHeight w:val="336" w:hRule="atLeast"/>
          <w:jc w:val="center"/>
        </w:trPr>
        <w:tc>
          <w:tcPr>
            <w:tcW w:w="1436" w:type="dxa"/>
            <w:tcBorders>
              <w:top w:val="nil"/>
              <w:left w:val="nil"/>
              <w:bottom w:val="nil"/>
              <w:right w:val="nil"/>
            </w:tcBorders>
            <w:noWrap/>
            <w:vAlign w:val="center"/>
          </w:tcPr>
          <w:p w14:paraId="6629D89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n=65</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6E66DF3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B8E09F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7.04</w:t>
            </w:r>
          </w:p>
        </w:tc>
        <w:tc>
          <w:tcPr>
            <w:tcW w:w="833" w:type="dxa"/>
            <w:tcBorders>
              <w:top w:val="nil"/>
              <w:left w:val="nil"/>
              <w:bottom w:val="nil"/>
              <w:right w:val="nil"/>
            </w:tcBorders>
            <w:noWrap/>
            <w:vAlign w:val="center"/>
          </w:tcPr>
          <w:p w14:paraId="1320F93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14.44</w:t>
            </w:r>
          </w:p>
        </w:tc>
        <w:tc>
          <w:tcPr>
            <w:tcW w:w="982" w:type="dxa"/>
            <w:tcBorders>
              <w:top w:val="nil"/>
              <w:left w:val="nil"/>
              <w:bottom w:val="nil"/>
              <w:right w:val="nil"/>
            </w:tcBorders>
            <w:noWrap/>
            <w:vAlign w:val="center"/>
          </w:tcPr>
          <w:p w14:paraId="730554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417.6</w:t>
            </w:r>
          </w:p>
        </w:tc>
        <w:tc>
          <w:tcPr>
            <w:tcW w:w="850" w:type="dxa"/>
            <w:tcBorders>
              <w:top w:val="nil"/>
              <w:left w:val="nil"/>
              <w:bottom w:val="nil"/>
              <w:right w:val="nil"/>
            </w:tcBorders>
            <w:noWrap/>
            <w:vAlign w:val="center"/>
          </w:tcPr>
          <w:p w14:paraId="2E7B07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2.68</w:t>
            </w:r>
          </w:p>
        </w:tc>
        <w:tc>
          <w:tcPr>
            <w:tcW w:w="863" w:type="dxa"/>
            <w:tcBorders>
              <w:top w:val="nil"/>
              <w:left w:val="nil"/>
              <w:bottom w:val="nil"/>
              <w:right w:val="nil"/>
            </w:tcBorders>
            <w:noWrap/>
            <w:vAlign w:val="center"/>
          </w:tcPr>
          <w:p w14:paraId="40E4729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-59.14</w:t>
            </w:r>
          </w:p>
        </w:tc>
        <w:tc>
          <w:tcPr>
            <w:tcW w:w="710" w:type="dxa"/>
            <w:tcBorders>
              <w:top w:val="nil"/>
              <w:left w:val="nil"/>
              <w:bottom w:val="nil"/>
              <w:right w:val="nil"/>
            </w:tcBorders>
            <w:noWrap/>
            <w:vAlign w:val="center"/>
          </w:tcPr>
          <w:p w14:paraId="170BF22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0.132</w:t>
            </w:r>
          </w:p>
        </w:tc>
        <w:tc>
          <w:tcPr>
            <w:tcW w:w="810" w:type="dxa"/>
            <w:tcBorders>
              <w:top w:val="nil"/>
              <w:left w:val="nil"/>
              <w:bottom w:val="nil"/>
              <w:right w:val="nil"/>
            </w:tcBorders>
            <w:noWrap/>
            <w:vAlign w:val="center"/>
          </w:tcPr>
          <w:p w14:paraId="405594F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267.8</w:t>
            </w:r>
          </w:p>
        </w:tc>
        <w:tc>
          <w:tcPr>
            <w:tcW w:w="810" w:type="dxa"/>
            <w:tcBorders>
              <w:top w:val="nil"/>
              <w:left w:val="nil"/>
              <w:bottom w:val="nil"/>
              <w:right w:val="nil"/>
            </w:tcBorders>
            <w:noWrap/>
            <w:vAlign w:val="center"/>
          </w:tcPr>
          <w:p w14:paraId="2E4096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5.19</w:t>
            </w:r>
          </w:p>
        </w:tc>
      </w:tr>
      <w:tr w14:paraId="0AED29C5">
        <w:trPr>
          <w:trHeight w:val="336" w:hRule="atLeast"/>
          <w:jc w:val="center"/>
        </w:trPr>
        <w:tc>
          <w:tcPr>
            <w:tcW w:w="1436" w:type="dxa"/>
            <w:tcBorders>
              <w:top w:val="nil"/>
              <w:left w:val="nil"/>
              <w:bottom w:val="nil"/>
              <w:right w:val="nil"/>
            </w:tcBorders>
            <w:noWrap/>
            <w:vAlign w:val="center"/>
          </w:tcPr>
          <w:p w14:paraId="715B6494">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A2E65C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4104097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7.35</w:t>
            </w:r>
          </w:p>
        </w:tc>
        <w:tc>
          <w:tcPr>
            <w:tcW w:w="833" w:type="dxa"/>
            <w:tcBorders>
              <w:top w:val="nil"/>
              <w:left w:val="nil"/>
              <w:bottom w:val="nil"/>
              <w:right w:val="nil"/>
            </w:tcBorders>
            <w:noWrap/>
            <w:vAlign w:val="center"/>
          </w:tcPr>
          <w:p w14:paraId="52EC09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15.49</w:t>
            </w:r>
          </w:p>
        </w:tc>
        <w:tc>
          <w:tcPr>
            <w:tcW w:w="982" w:type="dxa"/>
            <w:tcBorders>
              <w:top w:val="nil"/>
              <w:left w:val="nil"/>
              <w:bottom w:val="nil"/>
              <w:right w:val="nil"/>
            </w:tcBorders>
            <w:noWrap/>
            <w:vAlign w:val="center"/>
          </w:tcPr>
          <w:p w14:paraId="443823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661.79</w:t>
            </w:r>
          </w:p>
        </w:tc>
        <w:tc>
          <w:tcPr>
            <w:tcW w:w="850" w:type="dxa"/>
            <w:tcBorders>
              <w:top w:val="nil"/>
              <w:left w:val="nil"/>
              <w:bottom w:val="nil"/>
              <w:right w:val="nil"/>
            </w:tcBorders>
            <w:noWrap/>
            <w:vAlign w:val="center"/>
          </w:tcPr>
          <w:p w14:paraId="38A72FA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6.414</w:t>
            </w:r>
          </w:p>
        </w:tc>
        <w:tc>
          <w:tcPr>
            <w:tcW w:w="863" w:type="dxa"/>
            <w:tcBorders>
              <w:top w:val="nil"/>
              <w:left w:val="nil"/>
              <w:bottom w:val="nil"/>
              <w:right w:val="nil"/>
            </w:tcBorders>
            <w:noWrap/>
            <w:vAlign w:val="center"/>
          </w:tcPr>
          <w:p w14:paraId="00DAFA2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0.52</w:t>
            </w:r>
          </w:p>
        </w:tc>
        <w:tc>
          <w:tcPr>
            <w:tcW w:w="710" w:type="dxa"/>
            <w:tcBorders>
              <w:top w:val="nil"/>
              <w:left w:val="nil"/>
              <w:bottom w:val="nil"/>
              <w:right w:val="nil"/>
            </w:tcBorders>
            <w:noWrap/>
            <w:vAlign w:val="center"/>
          </w:tcPr>
          <w:p w14:paraId="6BBB42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0.27</w:t>
            </w:r>
          </w:p>
        </w:tc>
        <w:tc>
          <w:tcPr>
            <w:tcW w:w="810" w:type="dxa"/>
            <w:tcBorders>
              <w:top w:val="nil"/>
              <w:left w:val="nil"/>
              <w:bottom w:val="nil"/>
              <w:right w:val="nil"/>
            </w:tcBorders>
            <w:noWrap/>
            <w:vAlign w:val="center"/>
          </w:tcPr>
          <w:p w14:paraId="09EB23D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429.90</w:t>
            </w:r>
          </w:p>
        </w:tc>
        <w:tc>
          <w:tcPr>
            <w:tcW w:w="810" w:type="dxa"/>
            <w:tcBorders>
              <w:top w:val="nil"/>
              <w:left w:val="nil"/>
              <w:bottom w:val="nil"/>
              <w:right w:val="nil"/>
            </w:tcBorders>
            <w:noWrap/>
            <w:vAlign w:val="center"/>
          </w:tcPr>
          <w:p w14:paraId="1CC9F5F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37.75</w:t>
            </w:r>
          </w:p>
        </w:tc>
      </w:tr>
      <w:tr w14:paraId="106B694E">
        <w:trPr>
          <w:trHeight w:val="336" w:hRule="atLeast"/>
          <w:jc w:val="center"/>
        </w:trPr>
        <w:tc>
          <w:tcPr>
            <w:tcW w:w="1436" w:type="dxa"/>
            <w:tcBorders>
              <w:top w:val="nil"/>
              <w:left w:val="nil"/>
              <w:bottom w:val="nil"/>
              <w:right w:val="nil"/>
            </w:tcBorders>
            <w:noWrap/>
            <w:vAlign w:val="center"/>
          </w:tcPr>
          <w:p w14:paraId="476830C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0323FD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6BAAB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33" w:type="dxa"/>
            <w:tcBorders>
              <w:top w:val="nil"/>
              <w:left w:val="nil"/>
              <w:bottom w:val="nil"/>
              <w:right w:val="nil"/>
            </w:tcBorders>
            <w:noWrap/>
            <w:vAlign w:val="center"/>
          </w:tcPr>
          <w:p w14:paraId="1245BC8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0.69</w:t>
            </w:r>
          </w:p>
        </w:tc>
        <w:tc>
          <w:tcPr>
            <w:tcW w:w="982" w:type="dxa"/>
            <w:tcBorders>
              <w:top w:val="nil"/>
              <w:left w:val="nil"/>
              <w:bottom w:val="nil"/>
              <w:right w:val="nil"/>
            </w:tcBorders>
            <w:noWrap/>
            <w:vAlign w:val="center"/>
          </w:tcPr>
          <w:p w14:paraId="185DABE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170.65</w:t>
            </w:r>
          </w:p>
        </w:tc>
        <w:tc>
          <w:tcPr>
            <w:tcW w:w="850" w:type="dxa"/>
            <w:tcBorders>
              <w:top w:val="nil"/>
              <w:left w:val="nil"/>
              <w:bottom w:val="nil"/>
              <w:right w:val="nil"/>
            </w:tcBorders>
            <w:noWrap/>
            <w:vAlign w:val="center"/>
          </w:tcPr>
          <w:p w14:paraId="5C99A8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w:t>
            </w:r>
          </w:p>
        </w:tc>
        <w:tc>
          <w:tcPr>
            <w:tcW w:w="863" w:type="dxa"/>
            <w:tcBorders>
              <w:top w:val="nil"/>
              <w:left w:val="nil"/>
              <w:bottom w:val="nil"/>
              <w:right w:val="nil"/>
            </w:tcBorders>
            <w:noWrap/>
            <w:vAlign w:val="center"/>
          </w:tcPr>
          <w:p w14:paraId="0DD28A5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29.61</w:t>
            </w:r>
          </w:p>
        </w:tc>
        <w:tc>
          <w:tcPr>
            <w:tcW w:w="710" w:type="dxa"/>
            <w:tcBorders>
              <w:top w:val="nil"/>
              <w:left w:val="nil"/>
              <w:bottom w:val="nil"/>
              <w:right w:val="nil"/>
            </w:tcBorders>
            <w:noWrap/>
            <w:vAlign w:val="center"/>
          </w:tcPr>
          <w:p w14:paraId="611316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0.09</w:t>
            </w:r>
          </w:p>
        </w:tc>
        <w:tc>
          <w:tcPr>
            <w:tcW w:w="810" w:type="dxa"/>
            <w:tcBorders>
              <w:top w:val="nil"/>
              <w:left w:val="nil"/>
              <w:bottom w:val="nil"/>
              <w:right w:val="nil"/>
            </w:tcBorders>
            <w:noWrap/>
            <w:vAlign w:val="center"/>
          </w:tcPr>
          <w:p w14:paraId="344CA11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111.16</w:t>
            </w:r>
          </w:p>
        </w:tc>
        <w:tc>
          <w:tcPr>
            <w:tcW w:w="810" w:type="dxa"/>
            <w:tcBorders>
              <w:top w:val="nil"/>
              <w:left w:val="nil"/>
              <w:bottom w:val="nil"/>
              <w:right w:val="nil"/>
            </w:tcBorders>
            <w:noWrap/>
            <w:vAlign w:val="center"/>
          </w:tcPr>
          <w:p w14:paraId="7ACC73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33.13</w:t>
            </w:r>
          </w:p>
        </w:tc>
      </w:tr>
      <w:tr w14:paraId="37BB7922">
        <w:trPr>
          <w:trHeight w:val="336" w:hRule="atLeast"/>
          <w:jc w:val="center"/>
        </w:trPr>
        <w:tc>
          <w:tcPr>
            <w:tcW w:w="1436" w:type="dxa"/>
            <w:tcBorders>
              <w:top w:val="nil"/>
              <w:left w:val="nil"/>
              <w:bottom w:val="nil"/>
              <w:right w:val="nil"/>
            </w:tcBorders>
            <w:noWrap/>
            <w:vAlign w:val="center"/>
          </w:tcPr>
          <w:p w14:paraId="03B394C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1B60508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58FEB6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0.06</w:t>
            </w:r>
          </w:p>
        </w:tc>
        <w:tc>
          <w:tcPr>
            <w:tcW w:w="833" w:type="dxa"/>
            <w:tcBorders>
              <w:top w:val="nil"/>
              <w:left w:val="nil"/>
              <w:bottom w:val="nil"/>
              <w:right w:val="nil"/>
            </w:tcBorders>
            <w:noWrap/>
            <w:vAlign w:val="center"/>
          </w:tcPr>
          <w:p w14:paraId="3EB3881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08794B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50" w:type="dxa"/>
            <w:tcBorders>
              <w:top w:val="nil"/>
              <w:left w:val="nil"/>
              <w:bottom w:val="nil"/>
              <w:right w:val="nil"/>
            </w:tcBorders>
            <w:noWrap/>
            <w:vAlign w:val="center"/>
          </w:tcPr>
          <w:p w14:paraId="30542E9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0.19</w:t>
            </w:r>
          </w:p>
        </w:tc>
        <w:tc>
          <w:tcPr>
            <w:tcW w:w="863" w:type="dxa"/>
            <w:tcBorders>
              <w:top w:val="nil"/>
              <w:left w:val="nil"/>
              <w:bottom w:val="nil"/>
              <w:right w:val="nil"/>
            </w:tcBorders>
            <w:noWrap/>
            <w:vAlign w:val="center"/>
          </w:tcPr>
          <w:p w14:paraId="288C7D4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57.21</w:t>
            </w:r>
          </w:p>
        </w:tc>
        <w:tc>
          <w:tcPr>
            <w:tcW w:w="710" w:type="dxa"/>
            <w:tcBorders>
              <w:top w:val="nil"/>
              <w:left w:val="nil"/>
              <w:bottom w:val="nil"/>
              <w:right w:val="nil"/>
            </w:tcBorders>
            <w:noWrap/>
            <w:vAlign w:val="center"/>
          </w:tcPr>
          <w:p w14:paraId="30AEAA2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0.34</w:t>
            </w:r>
          </w:p>
        </w:tc>
        <w:tc>
          <w:tcPr>
            <w:tcW w:w="810" w:type="dxa"/>
            <w:tcBorders>
              <w:top w:val="nil"/>
              <w:left w:val="nil"/>
              <w:bottom w:val="nil"/>
              <w:right w:val="nil"/>
            </w:tcBorders>
            <w:noWrap/>
            <w:vAlign w:val="center"/>
          </w:tcPr>
          <w:p w14:paraId="37C2EE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10" w:type="dxa"/>
            <w:tcBorders>
              <w:top w:val="nil"/>
              <w:left w:val="nil"/>
              <w:bottom w:val="nil"/>
              <w:right w:val="nil"/>
            </w:tcBorders>
            <w:noWrap/>
            <w:vAlign w:val="center"/>
          </w:tcPr>
          <w:p w14:paraId="4C536E4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0.88</w:t>
            </w:r>
          </w:p>
        </w:tc>
      </w:tr>
      <w:tr w14:paraId="65C4F1FB">
        <w:trPr>
          <w:trHeight w:val="336" w:hRule="atLeast"/>
          <w:jc w:val="center"/>
        </w:trPr>
        <w:tc>
          <w:tcPr>
            <w:tcW w:w="1436" w:type="dxa"/>
            <w:tcBorders>
              <w:top w:val="nil"/>
              <w:left w:val="nil"/>
              <w:bottom w:val="nil"/>
              <w:right w:val="nil"/>
            </w:tcBorders>
            <w:noWrap/>
            <w:vAlign w:val="center"/>
          </w:tcPr>
          <w:p w14:paraId="2E22DC2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Wet season</w:t>
            </w:r>
          </w:p>
        </w:tc>
        <w:tc>
          <w:tcPr>
            <w:tcW w:w="695" w:type="dxa"/>
            <w:tcBorders>
              <w:top w:val="nil"/>
              <w:left w:val="nil"/>
              <w:bottom w:val="nil"/>
              <w:right w:val="nil"/>
            </w:tcBorders>
            <w:noWrap/>
            <w:vAlign w:val="center"/>
          </w:tcPr>
          <w:p w14:paraId="0A65877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740B716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8.21</w:t>
            </w:r>
          </w:p>
        </w:tc>
        <w:tc>
          <w:tcPr>
            <w:tcW w:w="833" w:type="dxa"/>
            <w:tcBorders>
              <w:top w:val="nil"/>
              <w:left w:val="nil"/>
              <w:bottom w:val="nil"/>
              <w:right w:val="nil"/>
            </w:tcBorders>
            <w:noWrap/>
            <w:vAlign w:val="center"/>
          </w:tcPr>
          <w:p w14:paraId="760AF9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18.88</w:t>
            </w:r>
          </w:p>
        </w:tc>
        <w:tc>
          <w:tcPr>
            <w:tcW w:w="982" w:type="dxa"/>
            <w:tcBorders>
              <w:top w:val="nil"/>
              <w:left w:val="nil"/>
              <w:bottom w:val="nil"/>
              <w:right w:val="nil"/>
            </w:tcBorders>
            <w:noWrap/>
            <w:vAlign w:val="center"/>
          </w:tcPr>
          <w:p w14:paraId="1E1C198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872.8</w:t>
            </w:r>
          </w:p>
        </w:tc>
        <w:tc>
          <w:tcPr>
            <w:tcW w:w="850" w:type="dxa"/>
            <w:tcBorders>
              <w:top w:val="nil"/>
              <w:left w:val="nil"/>
              <w:bottom w:val="nil"/>
              <w:right w:val="nil"/>
            </w:tcBorders>
            <w:noWrap/>
            <w:vAlign w:val="center"/>
          </w:tcPr>
          <w:p w14:paraId="370C6E1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8.54</w:t>
            </w:r>
          </w:p>
        </w:tc>
        <w:tc>
          <w:tcPr>
            <w:tcW w:w="863" w:type="dxa"/>
            <w:tcBorders>
              <w:top w:val="nil"/>
              <w:left w:val="nil"/>
              <w:bottom w:val="nil"/>
              <w:right w:val="nil"/>
            </w:tcBorders>
            <w:noWrap/>
            <w:vAlign w:val="center"/>
          </w:tcPr>
          <w:p w14:paraId="72E75F1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56.4</w:t>
            </w:r>
          </w:p>
        </w:tc>
        <w:tc>
          <w:tcPr>
            <w:tcW w:w="710" w:type="dxa"/>
            <w:tcBorders>
              <w:top w:val="nil"/>
              <w:left w:val="nil"/>
              <w:bottom w:val="nil"/>
              <w:right w:val="nil"/>
            </w:tcBorders>
            <w:noWrap/>
            <w:vAlign w:val="center"/>
          </w:tcPr>
          <w:p w14:paraId="3137B1D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0.37</w:t>
            </w:r>
          </w:p>
        </w:tc>
        <w:tc>
          <w:tcPr>
            <w:tcW w:w="810" w:type="dxa"/>
            <w:tcBorders>
              <w:top w:val="nil"/>
              <w:left w:val="nil"/>
              <w:bottom w:val="nil"/>
              <w:right w:val="nil"/>
            </w:tcBorders>
            <w:noWrap/>
            <w:vAlign w:val="center"/>
          </w:tcPr>
          <w:p w14:paraId="40ADB5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569</w:t>
            </w:r>
          </w:p>
        </w:tc>
        <w:tc>
          <w:tcPr>
            <w:tcW w:w="810" w:type="dxa"/>
            <w:tcBorders>
              <w:top w:val="nil"/>
              <w:left w:val="nil"/>
              <w:bottom w:val="nil"/>
              <w:right w:val="nil"/>
            </w:tcBorders>
            <w:noWrap/>
            <w:vAlign w:val="center"/>
          </w:tcPr>
          <w:p w14:paraId="631CDF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80.37</w:t>
            </w:r>
          </w:p>
        </w:tc>
      </w:tr>
      <w:tr w14:paraId="2525DEAE">
        <w:trPr>
          <w:trHeight w:val="336" w:hRule="atLeast"/>
          <w:jc w:val="center"/>
        </w:trPr>
        <w:tc>
          <w:tcPr>
            <w:tcW w:w="1436" w:type="dxa"/>
            <w:tcBorders>
              <w:top w:val="nil"/>
              <w:left w:val="nil"/>
              <w:bottom w:val="nil"/>
              <w:right w:val="nil"/>
            </w:tcBorders>
            <w:noWrap/>
            <w:vAlign w:val="center"/>
          </w:tcPr>
          <w:p w14:paraId="4F841C13">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n=50</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1A35E2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2038EA7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6.31</w:t>
            </w:r>
          </w:p>
        </w:tc>
        <w:tc>
          <w:tcPr>
            <w:tcW w:w="833" w:type="dxa"/>
            <w:tcBorders>
              <w:top w:val="nil"/>
              <w:left w:val="nil"/>
              <w:bottom w:val="nil"/>
              <w:right w:val="nil"/>
            </w:tcBorders>
            <w:noWrap/>
            <w:vAlign w:val="center"/>
          </w:tcPr>
          <w:p w14:paraId="428890C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16.12</w:t>
            </w:r>
          </w:p>
        </w:tc>
        <w:tc>
          <w:tcPr>
            <w:tcW w:w="982" w:type="dxa"/>
            <w:tcBorders>
              <w:top w:val="nil"/>
              <w:left w:val="nil"/>
              <w:bottom w:val="nil"/>
              <w:right w:val="nil"/>
            </w:tcBorders>
            <w:noWrap/>
            <w:vAlign w:val="center"/>
          </w:tcPr>
          <w:p w14:paraId="0C280F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395.8</w:t>
            </w:r>
          </w:p>
        </w:tc>
        <w:tc>
          <w:tcPr>
            <w:tcW w:w="850" w:type="dxa"/>
            <w:tcBorders>
              <w:top w:val="nil"/>
              <w:left w:val="nil"/>
              <w:bottom w:val="nil"/>
              <w:right w:val="nil"/>
            </w:tcBorders>
            <w:noWrap/>
            <w:vAlign w:val="center"/>
          </w:tcPr>
          <w:p w14:paraId="77D5FB8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5.34</w:t>
            </w:r>
          </w:p>
        </w:tc>
        <w:tc>
          <w:tcPr>
            <w:tcW w:w="863" w:type="dxa"/>
            <w:tcBorders>
              <w:top w:val="nil"/>
              <w:left w:val="nil"/>
              <w:bottom w:val="nil"/>
              <w:right w:val="nil"/>
            </w:tcBorders>
            <w:noWrap/>
            <w:vAlign w:val="center"/>
          </w:tcPr>
          <w:p w14:paraId="671F3E6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-77.64</w:t>
            </w:r>
          </w:p>
        </w:tc>
        <w:tc>
          <w:tcPr>
            <w:tcW w:w="710" w:type="dxa"/>
            <w:tcBorders>
              <w:top w:val="nil"/>
              <w:left w:val="nil"/>
              <w:bottom w:val="nil"/>
              <w:right w:val="nil"/>
            </w:tcBorders>
            <w:noWrap/>
            <w:vAlign w:val="center"/>
          </w:tcPr>
          <w:p w14:paraId="34AA305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w:t>
            </w:r>
          </w:p>
        </w:tc>
        <w:tc>
          <w:tcPr>
            <w:tcW w:w="810" w:type="dxa"/>
            <w:tcBorders>
              <w:top w:val="nil"/>
              <w:left w:val="nil"/>
              <w:bottom w:val="nil"/>
              <w:right w:val="nil"/>
            </w:tcBorders>
            <w:noWrap/>
            <w:vAlign w:val="center"/>
          </w:tcPr>
          <w:p w14:paraId="000E41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257.6</w:t>
            </w:r>
          </w:p>
        </w:tc>
        <w:tc>
          <w:tcPr>
            <w:tcW w:w="810" w:type="dxa"/>
            <w:tcBorders>
              <w:top w:val="nil"/>
              <w:left w:val="nil"/>
              <w:bottom w:val="nil"/>
              <w:right w:val="nil"/>
            </w:tcBorders>
            <w:noWrap/>
            <w:vAlign w:val="center"/>
          </w:tcPr>
          <w:p w14:paraId="3DE213F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8.47</w:t>
            </w:r>
          </w:p>
        </w:tc>
      </w:tr>
      <w:tr w14:paraId="1C68ED88">
        <w:trPr>
          <w:trHeight w:val="336" w:hRule="atLeast"/>
          <w:jc w:val="center"/>
        </w:trPr>
        <w:tc>
          <w:tcPr>
            <w:tcW w:w="1436" w:type="dxa"/>
            <w:tcBorders>
              <w:top w:val="nil"/>
              <w:left w:val="nil"/>
              <w:bottom w:val="nil"/>
              <w:right w:val="nil"/>
            </w:tcBorders>
            <w:noWrap/>
            <w:vAlign w:val="center"/>
          </w:tcPr>
          <w:p w14:paraId="38DC6D70">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B5F2C50">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0D33F5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7.38</w:t>
            </w:r>
          </w:p>
        </w:tc>
        <w:tc>
          <w:tcPr>
            <w:tcW w:w="833" w:type="dxa"/>
            <w:tcBorders>
              <w:top w:val="nil"/>
              <w:left w:val="nil"/>
              <w:bottom w:val="nil"/>
              <w:right w:val="nil"/>
            </w:tcBorders>
            <w:noWrap/>
            <w:vAlign w:val="center"/>
          </w:tcPr>
          <w:p w14:paraId="1D6FFD2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16.93</w:t>
            </w:r>
          </w:p>
        </w:tc>
        <w:tc>
          <w:tcPr>
            <w:tcW w:w="982" w:type="dxa"/>
            <w:tcBorders>
              <w:top w:val="nil"/>
              <w:left w:val="nil"/>
              <w:bottom w:val="nil"/>
              <w:right w:val="nil"/>
            </w:tcBorders>
            <w:noWrap/>
            <w:vAlign w:val="center"/>
          </w:tcPr>
          <w:p w14:paraId="6C4F23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535.7</w:t>
            </w:r>
          </w:p>
        </w:tc>
        <w:tc>
          <w:tcPr>
            <w:tcW w:w="850" w:type="dxa"/>
            <w:tcBorders>
              <w:top w:val="nil"/>
              <w:left w:val="nil"/>
              <w:bottom w:val="nil"/>
              <w:right w:val="nil"/>
            </w:tcBorders>
            <w:noWrap/>
            <w:vAlign w:val="center"/>
          </w:tcPr>
          <w:p w14:paraId="3322DAE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7.06</w:t>
            </w:r>
          </w:p>
        </w:tc>
        <w:tc>
          <w:tcPr>
            <w:tcW w:w="863" w:type="dxa"/>
            <w:tcBorders>
              <w:top w:val="nil"/>
              <w:left w:val="nil"/>
              <w:bottom w:val="nil"/>
              <w:right w:val="nil"/>
            </w:tcBorders>
            <w:noWrap/>
            <w:vAlign w:val="center"/>
          </w:tcPr>
          <w:p w14:paraId="5B34774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13.75</w:t>
            </w:r>
          </w:p>
        </w:tc>
        <w:tc>
          <w:tcPr>
            <w:tcW w:w="710" w:type="dxa"/>
            <w:tcBorders>
              <w:top w:val="nil"/>
              <w:left w:val="nil"/>
              <w:bottom w:val="nil"/>
              <w:right w:val="nil"/>
            </w:tcBorders>
            <w:noWrap/>
            <w:vAlign w:val="center"/>
          </w:tcPr>
          <w:p w14:paraId="06CFE05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6FDD45E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348.24</w:t>
            </w:r>
          </w:p>
        </w:tc>
        <w:tc>
          <w:tcPr>
            <w:tcW w:w="810" w:type="dxa"/>
            <w:tcBorders>
              <w:top w:val="nil"/>
              <w:left w:val="nil"/>
              <w:bottom w:val="nil"/>
              <w:right w:val="nil"/>
            </w:tcBorders>
            <w:noWrap/>
            <w:vAlign w:val="center"/>
          </w:tcPr>
          <w:p w14:paraId="16CEF3B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25.85</w:t>
            </w:r>
          </w:p>
        </w:tc>
      </w:tr>
      <w:tr w14:paraId="2D12D7E4">
        <w:trPr>
          <w:trHeight w:val="336" w:hRule="atLeast"/>
          <w:jc w:val="center"/>
        </w:trPr>
        <w:tc>
          <w:tcPr>
            <w:tcW w:w="1436" w:type="dxa"/>
            <w:tcBorders>
              <w:top w:val="nil"/>
              <w:left w:val="nil"/>
              <w:bottom w:val="nil"/>
              <w:right w:val="nil"/>
            </w:tcBorders>
            <w:noWrap/>
            <w:vAlign w:val="center"/>
          </w:tcPr>
          <w:p w14:paraId="006D2E69">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79A27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6FF8528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0.33</w:t>
            </w:r>
          </w:p>
        </w:tc>
        <w:tc>
          <w:tcPr>
            <w:tcW w:w="833" w:type="dxa"/>
            <w:tcBorders>
              <w:top w:val="nil"/>
              <w:left w:val="nil"/>
              <w:bottom w:val="nil"/>
              <w:right w:val="nil"/>
            </w:tcBorders>
            <w:noWrap/>
            <w:vAlign w:val="center"/>
          </w:tcPr>
          <w:p w14:paraId="2483ED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0.62</w:t>
            </w:r>
          </w:p>
        </w:tc>
        <w:tc>
          <w:tcPr>
            <w:tcW w:w="982" w:type="dxa"/>
            <w:tcBorders>
              <w:top w:val="nil"/>
              <w:left w:val="nil"/>
              <w:bottom w:val="nil"/>
              <w:right w:val="nil"/>
            </w:tcBorders>
            <w:noWrap/>
            <w:vAlign w:val="center"/>
          </w:tcPr>
          <w:p w14:paraId="744D41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131.02</w:t>
            </w:r>
          </w:p>
        </w:tc>
        <w:tc>
          <w:tcPr>
            <w:tcW w:w="850" w:type="dxa"/>
            <w:tcBorders>
              <w:top w:val="nil"/>
              <w:left w:val="nil"/>
              <w:bottom w:val="nil"/>
              <w:right w:val="nil"/>
            </w:tcBorders>
            <w:noWrap/>
            <w:vAlign w:val="center"/>
          </w:tcPr>
          <w:p w14:paraId="52E7CE9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0.78</w:t>
            </w:r>
          </w:p>
        </w:tc>
        <w:tc>
          <w:tcPr>
            <w:tcW w:w="863" w:type="dxa"/>
            <w:tcBorders>
              <w:top w:val="nil"/>
              <w:left w:val="nil"/>
              <w:bottom w:val="nil"/>
              <w:right w:val="nil"/>
            </w:tcBorders>
            <w:noWrap/>
            <w:vAlign w:val="center"/>
          </w:tcPr>
          <w:p w14:paraId="21EE0D8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28.85</w:t>
            </w:r>
          </w:p>
        </w:tc>
        <w:tc>
          <w:tcPr>
            <w:tcW w:w="710" w:type="dxa"/>
            <w:tcBorders>
              <w:top w:val="nil"/>
              <w:left w:val="nil"/>
              <w:bottom w:val="nil"/>
              <w:right w:val="nil"/>
            </w:tcBorders>
            <w:noWrap/>
            <w:vAlign w:val="center"/>
          </w:tcPr>
          <w:p w14:paraId="4489486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61ACAF1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86.05</w:t>
            </w:r>
          </w:p>
        </w:tc>
        <w:tc>
          <w:tcPr>
            <w:tcW w:w="810" w:type="dxa"/>
            <w:tcBorders>
              <w:top w:val="nil"/>
              <w:left w:val="nil"/>
              <w:bottom w:val="nil"/>
              <w:right w:val="nil"/>
            </w:tcBorders>
            <w:noWrap/>
            <w:vAlign w:val="center"/>
          </w:tcPr>
          <w:p w14:paraId="38C65E0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19.88</w:t>
            </w:r>
          </w:p>
        </w:tc>
      </w:tr>
      <w:tr w14:paraId="30DE1A07">
        <w:trPr>
          <w:trHeight w:val="336" w:hRule="atLeast"/>
          <w:jc w:val="center"/>
        </w:trPr>
        <w:tc>
          <w:tcPr>
            <w:tcW w:w="1436" w:type="dxa"/>
            <w:tcBorders>
              <w:top w:val="nil"/>
              <w:left w:val="nil"/>
              <w:bottom w:val="single" w:color="auto" w:sz="4" w:space="0"/>
              <w:right w:val="nil"/>
            </w:tcBorders>
            <w:noWrap/>
            <w:vAlign w:val="center"/>
          </w:tcPr>
          <w:p w14:paraId="46F0FE0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64E0E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single" w:color="auto" w:sz="4" w:space="0"/>
              <w:right w:val="nil"/>
            </w:tcBorders>
            <w:noWrap/>
            <w:vAlign w:val="center"/>
          </w:tcPr>
          <w:p w14:paraId="1B9CF03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833" w:type="dxa"/>
            <w:tcBorders>
              <w:top w:val="nil"/>
              <w:left w:val="nil"/>
              <w:bottom w:val="single" w:color="auto" w:sz="4" w:space="0"/>
              <w:right w:val="nil"/>
            </w:tcBorders>
            <w:noWrap/>
            <w:vAlign w:val="center"/>
          </w:tcPr>
          <w:p w14:paraId="6EB8C6E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single" w:color="auto" w:sz="4" w:space="0"/>
              <w:right w:val="nil"/>
            </w:tcBorders>
            <w:noWrap/>
            <w:vAlign w:val="center"/>
          </w:tcPr>
          <w:p w14:paraId="41B339A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0.24</w:t>
            </w:r>
          </w:p>
        </w:tc>
        <w:tc>
          <w:tcPr>
            <w:tcW w:w="850" w:type="dxa"/>
            <w:tcBorders>
              <w:top w:val="nil"/>
              <w:left w:val="nil"/>
              <w:bottom w:val="single" w:color="auto" w:sz="4" w:space="0"/>
              <w:right w:val="nil"/>
            </w:tcBorders>
            <w:noWrap/>
            <w:vAlign w:val="center"/>
          </w:tcPr>
          <w:p w14:paraId="13B6817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0.11</w:t>
            </w:r>
          </w:p>
        </w:tc>
        <w:tc>
          <w:tcPr>
            <w:tcW w:w="863" w:type="dxa"/>
            <w:tcBorders>
              <w:top w:val="nil"/>
              <w:left w:val="nil"/>
              <w:bottom w:val="single" w:color="auto" w:sz="4" w:space="0"/>
              <w:right w:val="nil"/>
            </w:tcBorders>
            <w:noWrap/>
            <w:vAlign w:val="center"/>
          </w:tcPr>
          <w:p w14:paraId="5B91CA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2.10</w:t>
            </w:r>
          </w:p>
        </w:tc>
        <w:tc>
          <w:tcPr>
            <w:tcW w:w="710" w:type="dxa"/>
            <w:tcBorders>
              <w:top w:val="nil"/>
              <w:left w:val="nil"/>
              <w:bottom w:val="single" w:color="auto" w:sz="4" w:space="0"/>
              <w:right w:val="nil"/>
            </w:tcBorders>
            <w:noWrap/>
            <w:vAlign w:val="center"/>
          </w:tcPr>
          <w:p w14:paraId="030C14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0.38</w:t>
            </w:r>
          </w:p>
        </w:tc>
        <w:tc>
          <w:tcPr>
            <w:tcW w:w="810" w:type="dxa"/>
            <w:tcBorders>
              <w:top w:val="nil"/>
              <w:left w:val="nil"/>
              <w:bottom w:val="single" w:color="auto" w:sz="4" w:space="0"/>
              <w:right w:val="nil"/>
            </w:tcBorders>
            <w:noWrap/>
            <w:vAlign w:val="center"/>
          </w:tcPr>
          <w:p w14:paraId="01848C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10" w:type="dxa"/>
            <w:tcBorders>
              <w:top w:val="nil"/>
              <w:left w:val="nil"/>
              <w:bottom w:val="single" w:color="auto" w:sz="4" w:space="0"/>
              <w:right w:val="nil"/>
            </w:tcBorders>
            <w:noWrap/>
            <w:vAlign w:val="center"/>
          </w:tcPr>
          <w:p w14:paraId="5501607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0.77</w:t>
            </w:r>
          </w:p>
        </w:tc>
      </w:tr>
    </w:tbl>
    <w:p w14:paraId="3A6255F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Standardized multivariate boxplots</w:t>
      </w:r>
      <w:r>
        <w:rPr>
          <w:rFonts w:ascii="Times New Roman Regular" w:hAnsi="Times New Roman Regular" w:cs="Times New Roman Regular"/>
          <w:color w:val="0000FF"/>
        </w:rPr>
        <w:t xml:space="preserve"> (Fig.1</w:t>
      </w:r>
      <w:r>
        <w:rPr>
          <w:rFonts w:hint="default" w:ascii="Times New Roman Regular" w:hAnsi="Times New Roman Regular" w:cs="Times New Roman Regular"/>
          <w:color w:val="0000FF"/>
          <w:lang w:val="en-US"/>
        </w:rPr>
        <w:t>2</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 visually confirm that the median, interquartile range (IQR), whisker length, and outlier distribution of the virtual data for each period were highly similar to the measured data, demonstrating that the central tendency and dispersion characteristics were well-preserved. Hydrological seasonal characteristics, such as high EC/TDS/Cl</w:t>
      </w:r>
      <w:r>
        <w:rPr>
          <w:rFonts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dry season and low, concentrated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wet season, were also accurately preserved. Although the number of some newly added outliers slightly increased, they all fell within physically reasonable ranges, with no non-physical solutions, such as negative concentrations or out-of-bounds pH values, occurring. </w:t>
      </w:r>
      <w:r>
        <w:rPr>
          <w:rFonts w:ascii="Times New Roman Regular" w:hAnsi="Times New Roman Regular" w:cs="Times New Roman Regular"/>
          <w:color w:val="0000FF"/>
        </w:rPr>
        <w:t>Fig.1</w:t>
      </w:r>
      <w:r>
        <w:rPr>
          <w:rFonts w:hint="default" w:ascii="Times New Roman Regular" w:hAnsi="Times New Roman Regular" w:cs="Times New Roman Regular"/>
          <w:color w:val="0000FF"/>
          <w:lang w:val="en-US"/>
        </w:rPr>
        <w:t>3</w:t>
      </w:r>
      <w:r>
        <w:rPr>
          <w:rFonts w:hint="eastAsia" w:ascii="Times New Roman Regular" w:hAnsi="Times New Roman Regular" w:cs="Times New Roman Regular"/>
          <w:color w:val="0000FF"/>
        </w:rPr>
        <w:t xml:space="preserve"> presents a comparison of nitrate concentration frequency distributions between the original and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 xml:space="preserve">datasets across normal, dry, and wet periods. The distributional comparison indicates that the proposed t-SNE + GMM + KNN inverse mapping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sample generation strategy maintains the core features of the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distribution for each hydrological period, while simultaneously improving sample representation in sparse areas and intervals of high variability. Therefore, the t-SNE + GMM method effectively captured the non-linear structure and extreme value information of the original data, and can provide reliable data support for subsequent model training.</w:t>
      </w:r>
    </w:p>
    <w:p w14:paraId="5C19B978">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72405" cy="6752590"/>
            <wp:effectExtent l="0" t="0" r="10795" b="381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5"/>
                    <a:stretch>
                      <a:fillRect/>
                    </a:stretch>
                  </pic:blipFill>
                  <pic:spPr>
                    <a:xfrm>
                      <a:off x="0" y="0"/>
                      <a:ext cx="5272405" cy="6752590"/>
                    </a:xfrm>
                    <a:prstGeom prst="rect">
                      <a:avLst/>
                    </a:prstGeom>
                    <a:noFill/>
                    <a:ln>
                      <a:noFill/>
                    </a:ln>
                  </pic:spPr>
                </pic:pic>
              </a:graphicData>
            </a:graphic>
          </wp:inline>
        </w:drawing>
      </w:r>
    </w:p>
    <w:p w14:paraId="221C77FD">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color w:val="0000FF"/>
          <w:lang w:val="en-US" w:eastAsia="zh-CN"/>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2</w:t>
      </w:r>
      <w:r>
        <w:rPr>
          <w:rFonts w:ascii="Times New Roman Regular" w:hAnsi="Times New Roman Regular" w:cs="Times New Roman Regular"/>
          <w:color w:val="0000FF"/>
        </w:rPr>
        <w:t>. Box plots of the observed and virtual variable data</w:t>
      </w:r>
      <w:r>
        <w:rPr>
          <w:rFonts w:hint="eastAsia" w:ascii="Times New Roman Regular" w:hAnsi="Times New Roman Regular" w:cs="Times New Roman Regular"/>
          <w:color w:val="0000FF"/>
        </w:rPr>
        <w:t xml:space="preserve"> at different periods</w:t>
      </w:r>
      <w:r>
        <w:rPr>
          <w:rFonts w:ascii="Times New Roman Regular" w:hAnsi="Times New Roman Regular" w:cs="Times New Roman Regular"/>
          <w:color w:val="0000FF"/>
        </w:rPr>
        <w:t>.</w:t>
      </w:r>
    </w:p>
    <w:p w14:paraId="3B0B0392">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64150" cy="1317625"/>
            <wp:effectExtent l="0" t="0" r="19050" b="3175"/>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
                    <a:stretch>
                      <a:fillRect/>
                    </a:stretch>
                  </pic:blipFill>
                  <pic:spPr>
                    <a:xfrm>
                      <a:off x="0" y="0"/>
                      <a:ext cx="5264150" cy="1317625"/>
                    </a:xfrm>
                    <a:prstGeom prst="rect">
                      <a:avLst/>
                    </a:prstGeom>
                    <a:noFill/>
                    <a:ln>
                      <a:noFill/>
                    </a:ln>
                  </pic:spPr>
                </pic:pic>
              </a:graphicData>
            </a:graphic>
          </wp:inline>
        </w:drawing>
      </w:r>
    </w:p>
    <w:p w14:paraId="5FBB2BE0">
      <w:pPr>
        <w:spacing w:line="300" w:lineRule="auto"/>
        <w:jc w:val="center"/>
        <w:rPr>
          <w:rFonts w:ascii="Times New Roman Regular" w:hAnsi="Times New Roman Regular" w:cs="Times New Roman Regular"/>
          <w:color w:val="0000FF"/>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3</w:t>
      </w:r>
      <w:r>
        <w:rPr>
          <w:rFonts w:ascii="Times New Roman Regular" w:hAnsi="Times New Roman Regular" w:cs="Times New Roman Regular"/>
          <w:color w:val="0000FF"/>
        </w:rPr>
        <w:t>. Comparison of nitrate concentration distribution in the original and virtual datasets under different periods.</w:t>
      </w:r>
    </w:p>
    <w:p w14:paraId="6DABD654">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Kolmogorov-Smirnov (KS) test results indicate that the dry season exhibited the lowest mean KS statistic (0.1214±0.0387), with 80.0% of the features falling below the strict threshold of 0.15</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(Fig. S1)</w:t>
      </w:r>
      <w:r>
        <w:rPr>
          <w:rFonts w:hint="default" w:ascii="Times New Roman Regular" w:hAnsi="Times New Roman Regular" w:cs="Times New Roman Regular"/>
          <w:color w:val="0000FF"/>
        </w:rPr>
        <w:t>. This demonstrates that the virtual samples during this period highly reproduced the distribution characteristics of the observed data. The normal season followed, with a mean KS statistic of 0.1278±0.0356, where 72.5% of the features had KS values below 0.15. The distribution similarity during the wet season was relatively lower, characterized by a mean KS statistic of 0.1657 ± 0.0542; although 37.5% of the features had KS values below 0.15, 70.0% still satisfied the acceptable criterion of KS&lt;0.20. The P-values from the KS test provided a quantitative assessment of the statistical significance regarding distributional differences. When P &gt; 0.05, the null hypothesis could not be rejected, indicating no significant difference between the distributions of the virtual and observed samples</w:t>
      </w:r>
      <w:r>
        <w:rPr>
          <w:rFonts w:hint="default" w:ascii="Times New Roman Regular" w:hAnsi="Times New Roman Regular" w:cs="Times New Roman Regular"/>
          <w:color w:val="0000FF"/>
          <w:lang w:val="en-US"/>
        </w:rPr>
        <w:t xml:space="preserve"> (Fig. S2 &amp; Fig.14)</w:t>
      </w:r>
      <w:r>
        <w:rPr>
          <w:rFonts w:hint="default" w:ascii="Times New Roman Regular" w:hAnsi="Times New Roman Regular" w:cs="Times New Roman Regular"/>
          <w:color w:val="0000FF"/>
        </w:rPr>
        <w:t>. Jensen-Shannon (JS) divergence analysis further corroborated these findings</w:t>
      </w:r>
      <w:r>
        <w:rPr>
          <w:rFonts w:hint="default" w:ascii="Times New Roman Regular" w:hAnsi="Times New Roman Regular" w:cs="Times New Roman Regular"/>
          <w:color w:val="0000FF"/>
          <w:lang w:val="en-US"/>
        </w:rPr>
        <w:t xml:space="preserve"> (Fig. 15)</w:t>
      </w:r>
      <w:r>
        <w:rPr>
          <w:rFonts w:hint="default" w:ascii="Times New Roman Regular" w:hAnsi="Times New Roman Regular" w:cs="Times New Roman Regular"/>
          <w:color w:val="0000FF"/>
        </w:rPr>
        <w:t>. The mean JS divergence across all three hydrological periods remained below the threshold of 0.05, demonstrating high consistency with the original distributions. These low JS divergence values indicate that the probability distributions of the synthetic samples closely approximated the observed data, with no significant distributional shift observed. Notably, the JS divergence values for Salt and 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xml:space="preserve"> were relatively higher across all hydrological periods. Evaluation results using the Maximum Mean Discrepancy (MMD) showed that MMD values approaching zero and remaining within the confidence interval indicate no significant distributional differences between the synthetic and observed data in the Reproducing Kernel Hilbert Space (RKHS), confirming that the virtual samples introduced no systematic bias</w:t>
      </w:r>
      <w:r>
        <w:rPr>
          <w:rFonts w:hint="default" w:ascii="Times New Roman Regular" w:hAnsi="Times New Roman Regular" w:cs="Times New Roman Regular"/>
          <w:color w:val="0000FF"/>
          <w:lang w:val="en-US"/>
        </w:rPr>
        <w:t xml:space="preserve"> (Fig. 16)</w:t>
      </w:r>
      <w:r>
        <w:rPr>
          <w:rFonts w:hint="default" w:ascii="Times New Roman Regular" w:hAnsi="Times New Roman Regular" w:cs="Times New Roman Regular"/>
          <w:color w:val="0000FF"/>
        </w:rPr>
        <w:t>.</w:t>
      </w:r>
    </w:p>
    <w:p w14:paraId="02C18ACC">
      <w:pPr>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color w:val="0000FF"/>
        </w:rPr>
      </w:pPr>
      <w:r>
        <w:rPr>
          <w:color w:val="0000FF"/>
        </w:rPr>
        <w:drawing>
          <wp:inline distT="0" distB="0" distL="114300" distR="114300">
            <wp:extent cx="5271135" cy="3485515"/>
            <wp:effectExtent l="0" t="0" r="12065" b="196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5271135" cy="3485515"/>
                    </a:xfrm>
                    <a:prstGeom prst="rect">
                      <a:avLst/>
                    </a:prstGeom>
                    <a:noFill/>
                    <a:ln>
                      <a:noFill/>
                    </a:ln>
                  </pic:spPr>
                </pic:pic>
              </a:graphicData>
            </a:graphic>
          </wp:inline>
        </w:drawing>
      </w:r>
    </w:p>
    <w:p w14:paraId="7AF388F5">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Fig.14</w:t>
      </w:r>
      <w:r>
        <w:rPr>
          <w:rFonts w:hint="default" w:ascii="Times New Roman Regular" w:hAnsi="Times New Roman Regular" w:cs="Times New Roman Regular"/>
          <w:color w:val="0000FF"/>
          <w:lang w:val="en-US"/>
        </w:rPr>
        <w:t>. Comparison of mean KS P-value under different sample generation factors during normal, dry, and wet seasons.</w:t>
      </w:r>
    </w:p>
    <w:p w14:paraId="6533954E">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color w:val="0000FF"/>
        </w:rPr>
      </w:pPr>
      <w:r>
        <w:rPr>
          <w:color w:val="0000FF"/>
        </w:rPr>
        <w:drawing>
          <wp:inline distT="0" distB="0" distL="114300" distR="114300">
            <wp:extent cx="5262245" cy="1723390"/>
            <wp:effectExtent l="0" t="0" r="2095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5262245" cy="1723390"/>
                    </a:xfrm>
                    <a:prstGeom prst="rect">
                      <a:avLst/>
                    </a:prstGeom>
                    <a:noFill/>
                    <a:ln>
                      <a:noFill/>
                    </a:ln>
                  </pic:spPr>
                </pic:pic>
              </a:graphicData>
            </a:graphic>
          </wp:inline>
        </w:drawing>
      </w:r>
    </w:p>
    <w:p w14:paraId="20930740">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Fig.15</w:t>
      </w:r>
      <w:r>
        <w:rPr>
          <w:rFonts w:hint="default" w:ascii="Times New Roman Regular" w:hAnsi="Times New Roman Regular" w:cs="Times New Roman Regular"/>
          <w:color w:val="0000FF"/>
          <w:lang w:val="en-US"/>
        </w:rPr>
        <w:t>. Boxplots of JS Divergence for Water Quality Features across Different Seasons.</w:t>
      </w:r>
    </w:p>
    <w:p w14:paraId="525E763A">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rFonts w:hint="default" w:ascii="Times New Roman Regular" w:hAnsi="Times New Roman Regular" w:cs="Times New Roman Regular"/>
          <w:color w:val="0000FF"/>
          <w:lang w:val="en-US"/>
        </w:rPr>
      </w:pPr>
      <w:r>
        <w:rPr>
          <w:color w:val="0000FF"/>
        </w:rPr>
        <w:drawing>
          <wp:inline distT="0" distB="0" distL="114300" distR="114300">
            <wp:extent cx="5262880" cy="3379470"/>
            <wp:effectExtent l="0" t="0" r="20320" b="2413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5262880" cy="3379470"/>
                    </a:xfrm>
                    <a:prstGeom prst="rect">
                      <a:avLst/>
                    </a:prstGeom>
                    <a:noFill/>
                    <a:ln>
                      <a:noFill/>
                    </a:ln>
                  </pic:spPr>
                </pic:pic>
              </a:graphicData>
            </a:graphic>
          </wp:inline>
        </w:drawing>
      </w:r>
    </w:p>
    <w:p w14:paraId="6A079B24">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Fig.16</w:t>
      </w:r>
      <w:r>
        <w:rPr>
          <w:rFonts w:hint="default" w:ascii="Times New Roman Regular" w:hAnsi="Times New Roman Regular" w:cs="Times New Roman Regular"/>
          <w:color w:val="0000FF"/>
          <w:lang w:val="en-US"/>
        </w:rPr>
        <w:t>. The variation of maximum mean difference (MMD) with sample generation factor in different seasons.</w:t>
      </w:r>
    </w:p>
    <w:p w14:paraId="68F96F9B">
      <w:pPr>
        <w:spacing w:line="300" w:lineRule="auto"/>
        <w:ind w:firstLine="420"/>
        <w:jc w:val="both"/>
        <w:rPr>
          <w:rFonts w:hint="eastAsia" w:ascii="Times New Roman Regular" w:hAnsi="Times New Roman Regular" w:cs="Times New Roman Regular"/>
          <w:color w:val="0000FF"/>
        </w:rPr>
      </w:pPr>
      <w:r>
        <w:rPr>
          <w:rFonts w:hint="default" w:ascii="Times New Roman Regular" w:hAnsi="Times New Roman Regular" w:cs="Times New Roman Regular"/>
          <w:color w:val="0000FF"/>
        </w:rPr>
        <w:t>Analysis of the impact of sample generation multipliers revealed that a multiplier of 7 to 10 times yielded the optimal performance across all hydrological periods. Within this range, both KS statistics and JS divergence remained at low levels with minimal fluctuation, indicating the most stable distribution similarity. In contrast, sample generation with multipliers of 1 to 3 times exhibited larger fluctuations in some indicators, demonstrating insufficient stability. Based on a comprehensive evaluation, this study recommends adopting a sample generation multiplier of at least 7 to ensure the quality of virtual samples. Feature-level analysis revealed the response characteristics of different water quality parameters to the data augmentation strategy. The KS statistics for ORP, Temperature, and EC were generally low (mean&lt;0.12), indicating excellent performance in virtual sample generation for these features. In contrast, Salt,</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and TDS exhibited relatively higher KS statistics (mean&gt;0.18). Nevertheless, the MMD values for all features remained within the confidence interval, suggesting that even for features with high KS values, the virtual samples did not introduce significant distributional bias. These diagnostics confirm that the t-SNE-GMM-KNN strategy effectively mitigates small sample bias without introducing systematic distributional distortion.</w:t>
      </w:r>
    </w:p>
    <w:p w14:paraId="0E0C0A4A">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1D71F4A">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0F15C3B">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reported improvement in R² after 10× augmentation is impressive. The authors should discuss potential risks of overfitting to synthetic patterns and comment on how the framework might generalize to other regions with different hydrogeochemical settings.</w:t>
      </w:r>
    </w:p>
    <w:p w14:paraId="446B9644">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5403CF3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thank the reviewer for raising these critical concerns regarding model generalizability and overfitting risks. We have added a comprehensive discussion in Section 4.5 (Limitations and future directions) addressing both issues:</w:t>
      </w:r>
    </w:p>
    <w:p w14:paraId="0AB94FA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Overfitting to synthetic patterns: We acknowledge that excessive virtual sample generation may lead to overfitting to artificial patterns. We explain that the t-SNE-GMM-KNN method inherently mitigates this by preserving the multimodal distribution and nonlinear manifold structure of original hydrochemical data. We also note that our bootstrap analysis indicates performance gains plateau beyond 8-fold augmentation, validating 10x as a practical upper bound that balances accuracy and generalizability. Relevant literature (Zhu et al., 2023; Tanner et al., 2022) has been cited to support this discussion.</w:t>
      </w:r>
    </w:p>
    <w:p w14:paraId="080F24C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Generalization to other regions: We explicitly discuss that direct model transfer to hydrogeologically dissimilar regions (e.g., karst systems, humid tropics) may suffer from domain shift issues due to differences in vadose zone thickness, climate regimes, and contamination sources. We emphasize that while the methodological framework is transferable, site-specific recalibration is necessary. We propose domain adaptation and meta-learning strategies as promising avenues to enhance cross-regional applicability without extensive new field campaigns.</w:t>
      </w:r>
    </w:p>
    <w:p w14:paraId="151A364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These additions provide a balanced assessment of the framework's limitations while outlining concrete pathways for broader application, ensuring readers understand both the capabilities and boundaries of the proposed approach.</w:t>
      </w:r>
    </w:p>
    <w:p w14:paraId="78F1A3F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13A5626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3573A025">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4.</w:t>
      </w:r>
      <w:r>
        <w:rPr>
          <w:rFonts w:hint="default" w:ascii="Times New Roman Regular" w:hAnsi="Times New Roman Regular" w:cs="Times New Roman Regular"/>
          <w:color w:val="0000FF"/>
          <w:lang w:val="en-US"/>
        </w:rPr>
        <w:t>5</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rPr>
        <w:t xml:space="preserve">Limitations and </w:t>
      </w:r>
      <w:r>
        <w:rPr>
          <w:rFonts w:hint="default" w:ascii="Times New Roman Regular" w:hAnsi="Times New Roman Regular" w:cs="Times New Roman Regular"/>
          <w:color w:val="0000FF"/>
          <w:lang w:val="en-US"/>
        </w:rPr>
        <w:t>f</w:t>
      </w:r>
      <w:r>
        <w:rPr>
          <w:rFonts w:hint="default" w:ascii="Times New Roman Regular" w:hAnsi="Times New Roman Regular" w:cs="Times New Roman Regular"/>
          <w:color w:val="0000FF"/>
        </w:rPr>
        <w:t xml:space="preserve">uture </w:t>
      </w:r>
      <w:r>
        <w:rPr>
          <w:rFonts w:hint="default" w:ascii="Times New Roman Regular" w:hAnsi="Times New Roman Regular" w:cs="Times New Roman Regular"/>
          <w:color w:val="0000FF"/>
          <w:lang w:val="en-US"/>
        </w:rPr>
        <w:t>d</w:t>
      </w:r>
      <w:r>
        <w:rPr>
          <w:rFonts w:hint="default" w:ascii="Times New Roman Regular" w:hAnsi="Times New Roman Regular" w:cs="Times New Roman Regular"/>
          <w:color w:val="0000FF"/>
        </w:rPr>
        <w:t>irections</w:t>
      </w:r>
    </w:p>
    <w:p w14:paraId="323AB55F">
      <w:pPr>
        <w:spacing w:line="300" w:lineRule="auto"/>
        <w:ind w:firstLine="420"/>
        <w:outlineLvl w:val="9"/>
        <w:rPr>
          <w:rFonts w:hint="eastAsia" w:ascii="Times New Roman Regular" w:hAnsi="Times New Roman Regular" w:cs="Times New Roman Regular" w:eastAsiaTheme="minorEastAsia"/>
          <w:color w:val="0000FF"/>
          <w:lang w:eastAsia="zh-CN"/>
        </w:rPr>
      </w:pPr>
      <w:r>
        <w:rPr>
          <w:rFonts w:hint="eastAsia" w:ascii="Times New Roman Regular" w:hAnsi="Times New Roman Regular" w:cs="Times New Roman Regular" w:eastAsiaTheme="minorEastAsia"/>
          <w:color w:val="0000FF"/>
          <w:lang w:eastAsia="zh-CN"/>
        </w:rPr>
        <w:t>While the 66, 65, and 50 sampling points for the normal, dry, and wet seasons respectively provided sufficient coverage for the 3000-hectare unmanned farm, the spatial representativeness of these discrete sampling points may not fully capture fine-scale heterogeneities in agricultural landscapes where nitrate leaching exhibits strong local-scale variability governed by micro-topography, soil texture transitions, and uneven fertilizer application patterns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Li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The seasonal snapshot approach</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though capturing critical hydrological transitions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inevitably sacrifices temporal resolution inherent to continuous monitoring systems. The 4</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6 month intervals between campaigns may miss episodic recharge events, short-term fertilizer leaching pulses following intensive rainfall, or transient biogeochemical shifts during freeze</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thaw cycles that are particularly relevant in the North China Plain</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s monsoonal climate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Nolte</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The single-year observation period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2023) also precludes assessment of inter-annual climatic variability (e.g., El Niño</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Southern Oscillation impacts) and long-term legacy nitrogen depletion dynamics. We acknowledge that our model predictions, while robust for the observed seasonal windows, may exhibit reduced reliability during extreme hydrological years or under future climate scenarios where non-stationarity in precipitation patterns could alter nitrate mobilization pathways.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Several sources of systematic bias warrant explicit acknowledgment. First, the reliance on irrigation wells for sampling introduces a hydrological connectivity bias: our dataset overrepresents shallow, actively exploited aquifer zones while potentially excluding deeper, stagnant groundwater bodies with distinct nitrate signatures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Second, the MixSIAR source apportionment relies on literature-derived end-member isotopic signatures that may not fully capture local biogeochemical fractionation specific to the North China Plain's thick vadose zone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Jiang</w:t>
      </w:r>
      <w:r>
        <w:rPr>
          <w:rFonts w:hint="default" w:ascii="Times New Roman Regular" w:hAnsi="Times New Roman Regular" w:cs="Times New Roman Regular"/>
          <w:color w:val="0000FF"/>
          <w:lang w:val="en-US"/>
        </w:rPr>
        <w:t xml:space="preserve"> et al., 2026</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Third, the virtual sample generation strategy, while effective for addressing data sparsity, may inadvertently amplify representational biases present in the original small sample sets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particularly the overrepresentation of high-concentration outliers during the dry season, potentially skewing model sensitivity toward extreme values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Tanner</w:t>
      </w:r>
      <w:r>
        <w:rPr>
          <w:rFonts w:hint="default" w:ascii="Times New Roman Regular" w:hAnsi="Times New Roman Regular" w:cs="Times New Roman Regular"/>
          <w:color w:val="0000FF"/>
          <w:lang w:val="en-US"/>
        </w:rPr>
        <w:t xml:space="preserve"> et al.,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p>
    <w:p w14:paraId="7495B7F6">
      <w:pPr>
        <w:spacing w:line="300" w:lineRule="auto"/>
        <w:ind w:firstLine="420"/>
        <w:outlineLvl w:val="9"/>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eastAsiaTheme="minorEastAsia"/>
          <w:color w:val="0000FF"/>
          <w:lang w:eastAsia="zh-CN"/>
        </w:rPr>
        <w:t>While the hybrid quantum-classical framework demonstrated superior performance within the Xiong</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an New Area, its extrapolation validity to hydrogeologically dissimilar regions remains untested and likely limited without domain adaptation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Dai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Recent advances in multi-site deep learning architectures suggest that pooling data from hydrogeologically similar regions could enhance generalizability; however, our single-site experimental design precludes assessment of such transfer learning benefits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Clark</w:t>
      </w:r>
      <w:r>
        <w:rPr>
          <w:rFonts w:hint="default" w:ascii="Times New Roman Regular" w:hAnsi="Times New Roman Regular" w:cs="Times New Roman Regular"/>
          <w:color w:val="0000FF"/>
          <w:lang w:val="en-US"/>
        </w:rPr>
        <w:t xml:space="preserve"> et al., 2025; </w:t>
      </w:r>
      <w:r>
        <w:rPr>
          <w:rFonts w:hint="default" w:ascii="Times New Roman Regular" w:hAnsi="Times New Roman Regular" w:cs="Times New Roman Regular"/>
          <w:color w:val="0000FF"/>
        </w:rPr>
        <w:t>Farahani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Future work should implement leave-one-region-out cross-validation and explore meta-learning approaches to disentangle universal nitrate transport principles from site-specific idiosyncrasies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Yu</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Regarding extrapolation to hydrogeologically dissimilar regions, the current framework’s validity is intrinsically linked to the specific hydrogeochemical context of the North China Plain, particularly its thick vadose zone, semi-arid climate, and intensive agricultural land use. Direct model transfer to regions with contrasting characteristics (e.g., karst aquifers with thin soils, humid tropical climates, or nitrate-dominated fertilizer regimes) would likely suffer from domain shift issues (Dai et al., 2025). We emphasize that the proposed t-SNE-GMM-KNN methodology is portable, but model parameters require recalibration using local hydrochemical data. Future implementation should adopt domain adaptation techniques, such as adversarial training or feature alignment between source and target domains. to enable cross-regional application without extensive new sampling campaigns (</w:t>
      </w:r>
      <w:r>
        <w:rPr>
          <w:rFonts w:hint="default" w:ascii="Times New Roman Regular" w:hAnsi="Times New Roman Regular" w:cs="Times New Roman Regular"/>
          <w:color w:val="0000FF"/>
        </w:rPr>
        <w:t>Zheng</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 Additionally, meta-learning approaches that leverage multi-site hydrochemical databases could disentangle universal nitrate transport principles from site-specific idiosyncrasies, enhancing the framework's generalizability across diverse hydrogeological settings (Yu et al., 2025).</w:t>
      </w:r>
    </w:p>
    <w:p w14:paraId="5798FDAE">
      <w:pPr>
        <w:spacing w:line="300" w:lineRule="auto"/>
        <w:ind w:firstLine="420"/>
        <w:outlineLvl w:val="9"/>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Modeling performance using only AEF embeddings as input generally yields an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approximately 10-20% lower than that achieved using measured water quality parameters. </w:t>
      </w:r>
      <w:r>
        <w:rPr>
          <w:rFonts w:hint="eastAsia" w:ascii="Times New Roman Regular" w:hAnsi="Times New Roman Regular" w:cs="Times New Roman Regular"/>
          <w:color w:val="0000FF"/>
        </w:rPr>
        <w:t>This discrepancy likely stems from the fact that water quality parameters directly reflect the immediate state of the groundwater chemical environment and exhibit direct relationships with nitrate transport and transformation processes, whereas surface remote sensing semantics provide only an indirect characterization</w:t>
      </w:r>
      <w:r>
        <w:rPr>
          <w:rFonts w:ascii="Times New Roman Regular" w:hAnsi="Times New Roman Regular" w:cs="Times New Roman Regular"/>
          <w:color w:val="0000FF"/>
        </w:rPr>
        <w:t xml:space="preserve"> (Alam et al., 2025). </w:t>
      </w:r>
      <w:r>
        <w:rPr>
          <w:rFonts w:hint="eastAsia" w:ascii="Times New Roman Regular" w:hAnsi="Times New Roman Regular" w:cs="Times New Roman Regular"/>
          <w:color w:val="0000FF"/>
        </w:rPr>
        <w:t xml:space="preserve">We acknowledge that relying on field parameters such as EC and TDS to predict nitrate is primarily valuable for understanding hydrochemical correlations rather than reducing monitoring costs if all parameters must be measured alongside nitrate. However, a key practical advantage is that the input water quality parameters(pH, EC, TDS, DO, ORP, etc.) can be rapidly acquired on-site using portable multi-parameter meters(e.g., Hach HQ400) within minutes, whereas nitrate determination typically requires laboratory-based analysis with longer processing times. Therefore, the field-parameter model offers a practical pathway for preliminary screening and real-time decision-making in field surveys when immediate laboratory results are unavailable. </w:t>
      </w:r>
      <w:r>
        <w:rPr>
          <w:rFonts w:ascii="Times New Roman Regular" w:hAnsi="Times New Roman Regular" w:cs="Times New Roman Regular"/>
          <w:color w:val="0000FF"/>
        </w:rPr>
        <w:t>After 10-fold virtual expansion, the AEF model still achieves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values of &gt;0.67 in the dry season, &gt;0.85 in the normal season, and &gt;0.78 in the wet season, </w:t>
      </w:r>
      <w:r>
        <w:rPr>
          <w:rFonts w:hint="eastAsia" w:ascii="Times New Roman Regular" w:hAnsi="Times New Roman Regular" w:cs="Times New Roman Regular"/>
          <w:color w:val="0000FF"/>
        </w:rPr>
        <w:t>supporting its feasibility</w:t>
      </w:r>
      <w:r>
        <w:rPr>
          <w:rFonts w:ascii="Times New Roman Regular" w:hAnsi="Times New Roman Regular" w:cs="Times New Roman Regular"/>
          <w:color w:val="0000FF"/>
        </w:rPr>
        <w:t xml:space="preserve"> as a rapid large-scale screening tool, particularly in unmonitored areas. Seasonal shifts in feature importance (dominated by A05/A00 in the normal season, A08/A06 in the dry season, A02/A03 in the wet season) suggest potential physical interpretations. A05/A00 may encode crop residue or soil organic matter information, A08/A06 may characterize the degree of bare soil exposure, and A02/A03 may reflect vegetation growth status or surface runoff potential</w:t>
      </w:r>
      <w:r>
        <w:rPr>
          <w:rFonts w:hint="default" w:ascii="Times New Roman Regular" w:hAnsi="Times New Roman Regular" w:cs="Times New Roman Regular"/>
          <w:color w:val="0000FF"/>
          <w:lang w:val="en-US"/>
        </w:rPr>
        <w:t xml:space="preserve"> (Alvarez et al., 2025)</w:t>
      </w:r>
      <w:r>
        <w:rPr>
          <w:rFonts w:ascii="Times New Roman Regular" w:hAnsi="Times New Roman Regular" w:cs="Times New Roman Regular"/>
          <w:color w:val="0000FF"/>
        </w:rPr>
        <w:t xml:space="preserve">. These </w:t>
      </w:r>
      <w:r>
        <w:rPr>
          <w:rFonts w:hint="eastAsia" w:ascii="Times New Roman Regular" w:hAnsi="Times New Roman Regular" w:cs="Times New Roman Regular"/>
          <w:color w:val="0000FF"/>
        </w:rPr>
        <w:t>interpretations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align with MixSIAR source apportionment and Bayesian driving factors. Although causal inference remains indirect, the global coverage and annual update characteristics of AEF make it a powerful supplement rather than a substitute for large-scale monitoring</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(Cai et al., 2025)</w:t>
      </w:r>
      <w:r>
        <w:rPr>
          <w:rFonts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Ground-truth validation remains essential for establishing definitive relationships between remote sensing signals and subsurface water quality (Tollefson et al., 2025).</w:t>
      </w:r>
    </w:p>
    <w:p w14:paraId="74D64A38">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36043163">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3FB4E035">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manuscript would benefit from acknowledging recent developments in quantum approaches for hydrology. I do strongly recommend citing the following relevant work, which provides useful methodological context: HydroQuantum: A new quantum-driven Python package for hydrological simulation.</w:t>
      </w:r>
    </w:p>
    <w:p w14:paraId="10DBED93">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4C595F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thank the reviewer for bringing this important and relevant work to our attention. We have now cited the HydroQuantum package (Saberian et al., 2026) in the Introduction section, acknowledging their development of quantum LSTM, hybrid quantum-classical LSTM, and variational quantum circuits for hydrological simulation across the continental US.</w:t>
      </w:r>
    </w:p>
    <w:p w14:paraId="64E48C5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This citation appropriately situates our hybrid quantum-classical Random Forest approach within the emerging field of quantum-enhanced hydrological modeling and provides useful methodological context regarding the application of quantum computing to complex time series forecasting in water resources. We agree that acknowledging this recent development strengthens the theoretical framework of our manuscript and highlights the growing interest in quantum machine learning applications in hydrology.</w:t>
      </w:r>
    </w:p>
    <w:p w14:paraId="6A21773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2CA10E9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193B1032">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Despite these recognized limitations of conventional approaches, existing solutions remain fragmented and insufficient for seasonal groundwater nitrate prediction. Specifically, current virtual sample generation methods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whether statistical (e.g., SMOTE, GMM) or deep learning-based (e.g., VAEs, GANs)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suffer from a critical paradox: they either fail to preserve the complex non-linear manifold structure of high-dimensional geochemical data or inherently require large training datasets that are unavailable in typical environmental monitoring scenarios (Farnia et al., 2023; Tung et al., 2023; Zhou et al., 2025). Meanwhile, while remote sensing foundation models such as Google's AlphaEarth Foundation (AEF) have demonstrated success in surface parameter estimation, their applicability to subsurface groundwater quality prediction, particularly for dynamic seasonal modeling, remains entirely untested (Tollefson, 2025; Li et al., 2025). Furthermore, although quantum machine learning (QML) theoretically offers advantages in capturing complex non-linear relationships through exponentially high-dimensional Hilbert space mapping, its practical efficacy in small-sample environmental datasets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especially when hybridized with classical ensemble methods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has not been systematically evaluated (Hong et al., 2025; Oliveira et al., 2025). Consequently, no existing framework simultaneously addresses the triple challenge of data sparsity, seasonal heterogeneity, and high-dimensional feature extraction for groundwater nitrate forecasting.</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To bridge these gaps, this study integrates three emerging methodological frontiers: advanced virtual sample generation, remote sensing foundation models, and quantum-enhanced machine learning. Recent advances in these domains offer partial solutions</w:t>
      </w:r>
      <w:r>
        <w:rPr>
          <w:rFonts w:ascii="Times New Roman Regular" w:hAnsi="Times New Roman Regular" w:cs="Times New Roman Regular"/>
          <w:color w:val="0000FF"/>
        </w:rPr>
        <w:t>. Gaussian Mixture Models (GMM) and deep generative frameworks (e.g., VAEs, GANs) have shown promise in enriching training data</w:t>
      </w:r>
      <w:r>
        <w:rPr>
          <w:rFonts w:hint="default" w:ascii="Times New Roman Regular" w:hAnsi="Times New Roman Regular" w:cs="Times New Roman Regular"/>
          <w:color w:val="0000FF"/>
          <w:lang w:val="en-US"/>
        </w:rPr>
        <w:t>, with GMM achieving an average similarity of 83.0% between unmixed chemical spectra and ground truth in geochemical analysis</w:t>
      </w:r>
      <w:r>
        <w:rPr>
          <w:rFonts w:ascii="Times New Roman Regular" w:hAnsi="Times New Roman Regular" w:cs="Times New Roman Regular"/>
          <w:color w:val="0000FF"/>
        </w:rPr>
        <w:t xml:space="preserve"> (Farnia et al., 2023</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Tung</w:t>
      </w:r>
      <w:r>
        <w:rPr>
          <w:rFonts w:hint="default" w:ascii="Times New Roman Regular" w:hAnsi="Times New Roman Regular" w:cs="Times New Roman Regular"/>
          <w:color w:val="0000FF"/>
          <w:lang w:val="en-US"/>
        </w:rPr>
        <w:t xml:space="preserve"> et al., 2023</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yet these approaches exhibit critical constraints</w:t>
      </w:r>
      <w:r>
        <w:rPr>
          <w:rFonts w:hint="default" w:ascii="Times New Roman Regular" w:hAnsi="Times New Roman Regular" w:cs="Times New Roman Regular"/>
          <w:color w:val="0000FF"/>
          <w:lang w:val="en-US"/>
        </w:rPr>
        <w:t>:</w:t>
      </w:r>
      <w:r>
        <w:rPr>
          <w:rFonts w:ascii="Times New Roman Regular" w:hAnsi="Times New Roman Regular" w:cs="Times New Roman Regular"/>
          <w:color w:val="0000FF"/>
        </w:rPr>
        <w:t xml:space="preserve"> they often fail to preserve the non-linear manifold structure of high-dimensional geochemical space or require large training sets, precisely what is lacking (Zhou et al., 2025). Non-linear dimensionality reduction methods, such as t-SNE, excel at revealing latent clusters corresponding to distinct hydrological processes, </w:t>
      </w:r>
      <w:r>
        <w:rPr>
          <w:rFonts w:hint="eastAsia" w:ascii="Times New Roman Regular" w:hAnsi="Times New Roman Regular" w:cs="Times New Roman Regular"/>
          <w:color w:val="0000FF"/>
        </w:rPr>
        <w:t>with a classification accuracy of 92% for annual daily hydrograph clustering in mountainous watersheds,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yet lack explicit generative mechanisms (Wang et al., 2025</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Tang</w:t>
      </w:r>
      <w:r>
        <w:rPr>
          <w:rFonts w:hint="default" w:ascii="Times New Roman Regular" w:hAnsi="Times New Roman Regular" w:cs="Times New Roman Regular"/>
          <w:color w:val="0000FF"/>
          <w:lang w:val="en-US"/>
        </w:rPr>
        <w:t xml:space="preserve"> et al., 2022</w:t>
      </w:r>
      <w:r>
        <w:rPr>
          <w:rFonts w:ascii="Times New Roman Regular" w:hAnsi="Times New Roman Regular" w:cs="Times New Roman Regular"/>
          <w:color w:val="0000FF"/>
        </w:rPr>
        <w:t xml:space="preserve">). Meanwhile, the rise of foundation models in Earth observation exemplified by Google’s AlphaEarth Foundation (AEF), offers unprecedented opportunities: its 64-dimensional semantic embeddings, derived from multi-sensor satellite time series (including Sentinel-2, Landsat, and Sentinel-1), implicitly encode land use, vegetation phenology, soil moisture, and anthropogenic footprints at 10 m resolution (Tollefson, 2025). These features have been successfully applied in land use classification and crop monitoring, but their potential for predicting groundwater nitrate concentrations, especially across different hydrological seasons remains underexplored (Li et al., 2025). Quantum machine learning (QML) further opens a new frontier. Parameterized Quantum Circuits (PQCs) can map classical inputs into exponentially high-dimensional quantum Hilbert spaces, generating entangled feature representations that reveal complex, non-linear patterns inaccessible to classical kernels (Hong et al., 2025). </w:t>
      </w:r>
      <w:r>
        <w:rPr>
          <w:rFonts w:hint="eastAsia" w:ascii="Times New Roman Regular" w:hAnsi="Times New Roman Regular" w:cs="Times New Roman Regular"/>
          <w:color w:val="0000FF"/>
        </w:rPr>
        <w:t>For ozone concentration forecasting, a hybrid QML model achieved an R</w:t>
      </w:r>
      <w:r>
        <w:rPr>
          <w:rFonts w:hint="default" w:ascii="Times New Roman Regular" w:hAnsi="Times New Roman Regular" w:cs="Times New Roman Regular"/>
          <w:color w:val="0000FF"/>
          <w:vertAlign w:val="superscript"/>
          <w:lang w:val="en-US"/>
        </w:rPr>
        <w:t>2</w:t>
      </w:r>
      <w:r>
        <w:rPr>
          <w:rFonts w:hint="eastAsia" w:ascii="Times New Roman Regular" w:hAnsi="Times New Roman Regular" w:cs="Times New Roman Regular"/>
          <w:color w:val="0000FF"/>
        </w:rPr>
        <w:t xml:space="preserve"> of 94.12% for 1-hour forecasts and 75.62% for 6-hour forecasts, outperforming classical persistence models by a forecast skill of 31.01</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57.46% (</w:t>
      </w:r>
      <w:r>
        <w:rPr>
          <w:rFonts w:hint="default" w:ascii="Times New Roman Regular" w:hAnsi="Times New Roman Regular" w:cs="Times New Roman Regular"/>
          <w:color w:val="0000FF"/>
        </w:rPr>
        <w:t>Oliveira</w:t>
      </w:r>
      <w:r>
        <w:rPr>
          <w:rFonts w:hint="default" w:ascii="Times New Roman Regular" w:hAnsi="Times New Roman Regular" w:cs="Times New Roman Regular"/>
          <w:color w:val="0000FF"/>
          <w:lang w:val="en-US"/>
        </w:rPr>
        <w:t xml:space="preserve"> et al.</w:t>
      </w:r>
      <w:r>
        <w:rPr>
          <w:rFonts w:hint="eastAsia" w:ascii="Times New Roman Regular" w:hAnsi="Times New Roman Regular" w:cs="Times New Roman Regular"/>
          <w:color w:val="0000FF"/>
        </w:rPr>
        <w:t>, 2025). Recently, Saberian et al. (2026) developed HydroQuantum, a quantum-driven Python package implementing Quantum LSTM (QLSTM), hybrid quantum-classical LSTM, and Variational Quantum Circuits (VQC) for daily streamflow and stream water temperature simulations across the continental US. Their work demonstrated that quantum-enhanced architectures can effectively capture temporal dependencies in hydrological time series, particularly in snowmelt-driven and regulated basins, providing valuable methodological context for quantum-driven hydrological modeling.</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Crucially, analytical quantum feature extraction via Pauli-Z expectation values avoids the noisy sampling overhead of near-term quantum hardware, reducing computational latency by ~80% compared to sampling-based methods and making it viable for small-sample environmental modeling</w:t>
      </w:r>
      <w:r>
        <w:rPr>
          <w:rFonts w:ascii="Times New Roman Regular" w:hAnsi="Times New Roman Regular" w:cs="Times New Roman Regular"/>
          <w:color w:val="0000FF"/>
        </w:rPr>
        <w:t xml:space="preserve"> (Gujju et al., 2024</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Oliveira</w:t>
      </w:r>
      <w:r>
        <w:rPr>
          <w:rFonts w:hint="default" w:ascii="Times New Roman Regular" w:hAnsi="Times New Roman Regular" w:cs="Times New Roman Regular"/>
          <w:color w:val="0000FF"/>
          <w:lang w:val="en-US"/>
        </w:rPr>
        <w:t xml:space="preserve"> et al.</w:t>
      </w:r>
      <w:r>
        <w:rPr>
          <w:rFonts w:hint="eastAsia" w:ascii="Times New Roman Regular" w:hAnsi="Times New Roman Regular" w:cs="Times New Roman Regular"/>
          <w:color w:val="0000FF"/>
        </w:rPr>
        <w:t>, 2025</w:t>
      </w:r>
      <w:r>
        <w:rPr>
          <w:rFonts w:ascii="Times New Roman Regular" w:hAnsi="Times New Roman Regular" w:cs="Times New Roman Regular"/>
          <w:color w:val="0000FF"/>
        </w:rPr>
        <w:t>).</w:t>
      </w:r>
    </w:p>
    <w:p w14:paraId="60199612">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67AC8B3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395A29A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believe that these revisions have addressed the issues raised and significantly improved the manuscript. Thank you again for your time and consideration.</w:t>
      </w:r>
    </w:p>
    <w:p w14:paraId="78FCE55F">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bookmarkStart w:id="0" w:name="_GoBack"/>
      <w:bookmarkEnd w:id="0"/>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imes New Roman Regular">
    <w:panose1 w:val="02020603050405020304"/>
    <w:charset w:val="00"/>
    <w:family w:val="auto"/>
    <w:pitch w:val="default"/>
    <w:sig w:usb0="E0002AEF" w:usb1="C0007841" w:usb2="00000009" w:usb3="00000000" w:csb0="400001FF" w:csb1="FFFF0000"/>
  </w:font>
  <w:font w:name="Times New Roman Bold">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Apple Symbols">
    <w:panose1 w:val="02000000000000000000"/>
    <w:charset w:val="00"/>
    <w:family w:val="auto"/>
    <w:pitch w:val="default"/>
    <w:sig w:usb0="800000A3" w:usb1="08007BEB" w:usb2="01840034" w:usb3="0000A268" w:csb0="200001FB" w:csb1="DDFF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08F9CB">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62CA92">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C62CA92">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F6DFB1"/>
    <w:multiLevelType w:val="singleLevel"/>
    <w:tmpl w:val="EFF6DFB1"/>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AC7F6719"/>
    <w:rsid w:val="157A3FBF"/>
    <w:rsid w:val="35D6EF10"/>
    <w:rsid w:val="3FB71E92"/>
    <w:rsid w:val="3FF7E51E"/>
    <w:rsid w:val="55CF89C9"/>
    <w:rsid w:val="55FFCD5C"/>
    <w:rsid w:val="5E9D4647"/>
    <w:rsid w:val="5F7F3283"/>
    <w:rsid w:val="5FBD06C3"/>
    <w:rsid w:val="63EE5730"/>
    <w:rsid w:val="70DA2DE6"/>
    <w:rsid w:val="75DCA8C9"/>
    <w:rsid w:val="777E9259"/>
    <w:rsid w:val="7D5BC8C9"/>
    <w:rsid w:val="9FB78880"/>
    <w:rsid w:val="AC7F6719"/>
    <w:rsid w:val="AF50AC72"/>
    <w:rsid w:val="AFBF81EB"/>
    <w:rsid w:val="B1BE5174"/>
    <w:rsid w:val="BF3F3856"/>
    <w:rsid w:val="D77DE188"/>
    <w:rsid w:val="DCEF9B64"/>
    <w:rsid w:val="DE8F5AFE"/>
    <w:rsid w:val="DEFFBE21"/>
    <w:rsid w:val="DF325161"/>
    <w:rsid w:val="EF9F8E99"/>
    <w:rsid w:val="EFCC171E"/>
    <w:rsid w:val="EFFF6A9D"/>
    <w:rsid w:val="F7316DB6"/>
    <w:rsid w:val="F79A7AF5"/>
    <w:rsid w:val="F7F75F6B"/>
    <w:rsid w:val="FDDFC4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0</TotalTime>
  <ScaleCrop>false</ScaleCrop>
  <LinksUpToDate>false</LinksUpToDate>
  <CharactersWithSpaces>0</CharactersWithSpaces>
  <Application>WPS Office_12.1.22553.22553_F1E327BC-269C-435d-A152-05C5408002CA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2026-03-27T11:33:00Z</dcterms:created>
  <dc:creator>sherlock holmes</dc:creator>
  <cp:lastModifiedBy>sherlock holmes</cp:lastModifiedBy>
  <dcterms:modified xsi:type="dcterms:W3CDTF">2026-03-31T16:59:23Z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2052-12.1.22553.22553</vt:lpwstr>
  </property>
  <property fmtid="{D5CDD505-2E9C-101B-9397-08002B2CF9AE}" pid="3" name="ICV">
    <vt:lpwstr>83E255AD5ABA3BEA8519C56968B8F7E0_41</vt:lpwstr>
  </property>
</Properties>
</file>